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13D01093"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AE289B">
        <w:rPr>
          <w:rFonts w:ascii="Arial" w:hAnsi="Arial" w:cs="Arial"/>
          <w:sz w:val="24"/>
          <w:szCs w:val="28"/>
          <w:lang w:val="en-CA"/>
        </w:rPr>
        <w:t>10</w:t>
      </w:r>
      <w:r w:rsidR="00650C95">
        <w:rPr>
          <w:rFonts w:ascii="Arial" w:hAnsi="Arial" w:cs="Arial"/>
          <w:sz w:val="24"/>
          <w:szCs w:val="28"/>
          <w:lang w:val="en-CA"/>
        </w:rPr>
        <w:t>8</w:t>
      </w:r>
      <w:r w:rsidR="00DD3B40">
        <w:rPr>
          <w:rFonts w:ascii="Arial" w:hAnsi="Arial" w:cs="Arial"/>
          <w:sz w:val="24"/>
          <w:szCs w:val="28"/>
          <w:lang w:val="en-CA"/>
        </w:rPr>
        <w:t xml:space="preserve"> bis</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764855">
        <w:rPr>
          <w:rFonts w:ascii="Arial" w:hAnsi="Arial" w:cs="Arial"/>
          <w:sz w:val="24"/>
          <w:szCs w:val="28"/>
          <w:lang w:val="en-CA"/>
        </w:rPr>
        <w:t>3</w:t>
      </w:r>
      <w:r w:rsidR="008B3A37">
        <w:rPr>
          <w:rFonts w:ascii="Arial" w:hAnsi="Arial" w:cs="Arial"/>
          <w:sz w:val="24"/>
          <w:szCs w:val="28"/>
          <w:lang w:val="en-CA"/>
        </w:rPr>
        <w:t>1</w:t>
      </w:r>
      <w:r w:rsidR="00C620B4">
        <w:rPr>
          <w:rFonts w:ascii="Arial" w:hAnsi="Arial" w:cs="Arial"/>
          <w:sz w:val="24"/>
          <w:szCs w:val="28"/>
          <w:lang w:val="en-CA"/>
        </w:rPr>
        <w:t>6406</w:t>
      </w:r>
    </w:p>
    <w:p w14:paraId="70B2677E" w14:textId="6B75B083" w:rsidR="000E056E" w:rsidRPr="00BC6F13" w:rsidRDefault="002D5AB3" w:rsidP="000E056E">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Xiamen</w:t>
      </w:r>
      <w:r w:rsidR="000E056E" w:rsidRPr="00BC6F13">
        <w:rPr>
          <w:rFonts w:ascii="Arial" w:hAnsi="Arial" w:cs="Arial"/>
          <w:sz w:val="24"/>
          <w:szCs w:val="28"/>
          <w:lang w:val="en-CA"/>
        </w:rPr>
        <w:t xml:space="preserve">, </w:t>
      </w:r>
      <w:r>
        <w:rPr>
          <w:rFonts w:ascii="Arial" w:hAnsi="Arial" w:cs="Arial"/>
          <w:sz w:val="24"/>
          <w:szCs w:val="28"/>
          <w:lang w:val="en-CA"/>
        </w:rPr>
        <w:t>China</w:t>
      </w:r>
      <w:r w:rsidR="000E056E" w:rsidRPr="00BC6F13">
        <w:rPr>
          <w:rFonts w:ascii="Arial" w:hAnsi="Arial" w:cs="Arial"/>
          <w:sz w:val="24"/>
          <w:szCs w:val="28"/>
          <w:lang w:val="en-CA"/>
        </w:rPr>
        <w:t xml:space="preserve">, </w:t>
      </w:r>
      <w:proofErr w:type="spellStart"/>
      <w:r>
        <w:rPr>
          <w:rFonts w:ascii="Arial" w:hAnsi="Arial" w:cs="Arial"/>
          <w:sz w:val="24"/>
          <w:szCs w:val="28"/>
          <w:lang w:val="en-CA"/>
        </w:rPr>
        <w:t>Octorber</w:t>
      </w:r>
      <w:proofErr w:type="spellEnd"/>
      <w:r>
        <w:rPr>
          <w:rFonts w:ascii="Arial" w:hAnsi="Arial" w:cs="Arial"/>
          <w:sz w:val="24"/>
          <w:szCs w:val="28"/>
          <w:lang w:val="en-CA"/>
        </w:rPr>
        <w:t xml:space="preserve"> </w:t>
      </w:r>
      <w:r w:rsidR="006554AF">
        <w:rPr>
          <w:rFonts w:ascii="Arial" w:hAnsi="Arial" w:cs="Arial"/>
          <w:sz w:val="24"/>
          <w:szCs w:val="28"/>
          <w:lang w:val="en-CA"/>
        </w:rPr>
        <w:t>9</w:t>
      </w:r>
      <w:proofErr w:type="gramStart"/>
      <w:r w:rsidRPr="002D5AB3">
        <w:rPr>
          <w:rFonts w:ascii="Arial" w:hAnsi="Arial" w:cs="Arial"/>
          <w:sz w:val="24"/>
          <w:szCs w:val="28"/>
          <w:vertAlign w:val="superscript"/>
          <w:lang w:val="en-CA"/>
        </w:rPr>
        <w:t>th</w:t>
      </w:r>
      <w:r>
        <w:rPr>
          <w:rFonts w:ascii="Arial" w:hAnsi="Arial" w:cs="Arial"/>
          <w:sz w:val="24"/>
          <w:szCs w:val="28"/>
          <w:lang w:val="en-CA"/>
        </w:rPr>
        <w:t xml:space="preserve"> </w:t>
      </w:r>
      <w:r w:rsidR="000E056E" w:rsidRPr="00BC6F13">
        <w:rPr>
          <w:rFonts w:ascii="Arial" w:hAnsi="Arial" w:cs="Arial"/>
          <w:sz w:val="24"/>
          <w:szCs w:val="28"/>
          <w:lang w:val="en-CA"/>
        </w:rPr>
        <w:t xml:space="preserve"> –</w:t>
      </w:r>
      <w:proofErr w:type="gramEnd"/>
      <w:r w:rsidR="000E056E" w:rsidRPr="00BC6F13">
        <w:rPr>
          <w:rFonts w:ascii="Arial" w:hAnsi="Arial" w:cs="Arial"/>
          <w:sz w:val="24"/>
          <w:szCs w:val="28"/>
          <w:lang w:val="en-CA"/>
        </w:rPr>
        <w:t xml:space="preserve">  </w:t>
      </w:r>
      <w:proofErr w:type="spellStart"/>
      <w:r w:rsidR="006554AF">
        <w:rPr>
          <w:rFonts w:ascii="Arial" w:hAnsi="Arial" w:cs="Arial"/>
          <w:sz w:val="24"/>
          <w:szCs w:val="28"/>
          <w:lang w:val="en-CA"/>
        </w:rPr>
        <w:t>Octorber</w:t>
      </w:r>
      <w:proofErr w:type="spellEnd"/>
      <w:r w:rsidR="006554AF">
        <w:rPr>
          <w:rFonts w:ascii="Arial" w:hAnsi="Arial" w:cs="Arial"/>
          <w:sz w:val="24"/>
          <w:szCs w:val="28"/>
          <w:lang w:val="en-CA"/>
        </w:rPr>
        <w:t xml:space="preserve"> 13</w:t>
      </w:r>
      <w:r w:rsidR="006554AF" w:rsidRPr="006554AF">
        <w:rPr>
          <w:rFonts w:ascii="Arial" w:hAnsi="Arial" w:cs="Arial"/>
          <w:sz w:val="24"/>
          <w:szCs w:val="28"/>
          <w:vertAlign w:val="superscript"/>
          <w:lang w:val="en-CA"/>
        </w:rPr>
        <w:t>th</w:t>
      </w:r>
      <w:r w:rsidR="006554AF">
        <w:rPr>
          <w:rFonts w:ascii="Arial" w:hAnsi="Arial" w:cs="Arial"/>
          <w:sz w:val="24"/>
          <w:szCs w:val="28"/>
          <w:lang w:val="en-CA"/>
        </w:rPr>
        <w:t xml:space="preserve"> </w:t>
      </w:r>
      <w:r w:rsidR="000E056E" w:rsidRPr="00BC6F13">
        <w:rPr>
          <w:rFonts w:ascii="Arial" w:hAnsi="Arial" w:cs="Arial"/>
          <w:sz w:val="24"/>
          <w:szCs w:val="28"/>
          <w:lang w:val="en-CA"/>
        </w:rPr>
        <w:t>, 2023</w:t>
      </w:r>
    </w:p>
    <w:p w14:paraId="14395BAA" w14:textId="21CC2F47"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252B0">
        <w:rPr>
          <w:rFonts w:ascii="Arial" w:hAnsi="Arial" w:cs="Arial"/>
          <w:bCs/>
          <w:sz w:val="22"/>
          <w:szCs w:val="22"/>
          <w:lang w:val="en-US"/>
        </w:rPr>
        <w:t>5</w:t>
      </w:r>
      <w:r w:rsidR="00A413E5" w:rsidRPr="001F47B9">
        <w:rPr>
          <w:rFonts w:ascii="Arial" w:hAnsi="Arial" w:cs="Arial"/>
          <w:bCs/>
          <w:sz w:val="22"/>
          <w:szCs w:val="22"/>
          <w:lang w:val="en-CA"/>
        </w:rPr>
        <w:t>.</w:t>
      </w:r>
      <w:r w:rsidR="00933FCE">
        <w:rPr>
          <w:rFonts w:ascii="Arial" w:hAnsi="Arial" w:cs="Arial"/>
          <w:bCs/>
          <w:sz w:val="22"/>
          <w:szCs w:val="22"/>
          <w:lang w:val="en-CA"/>
        </w:rPr>
        <w:t>2</w:t>
      </w:r>
      <w:r w:rsidR="00DF2AA3">
        <w:rPr>
          <w:rFonts w:ascii="Arial" w:hAnsi="Arial" w:cs="Arial"/>
          <w:bCs/>
          <w:sz w:val="22"/>
          <w:szCs w:val="22"/>
          <w:lang w:val="en-CA"/>
        </w:rPr>
        <w:t>4</w:t>
      </w:r>
      <w:r w:rsidR="00933FCE">
        <w:rPr>
          <w:rFonts w:ascii="Arial" w:hAnsi="Arial" w:cs="Arial"/>
          <w:bCs/>
          <w:sz w:val="22"/>
          <w:szCs w:val="22"/>
          <w:lang w:val="en-CA"/>
        </w:rPr>
        <w:t>.</w:t>
      </w:r>
      <w:r w:rsidR="00A252B0">
        <w:rPr>
          <w:rFonts w:ascii="Arial" w:hAnsi="Arial" w:cs="Arial"/>
          <w:bCs/>
          <w:sz w:val="22"/>
          <w:szCs w:val="22"/>
          <w:lang w:val="en-CA"/>
        </w:rPr>
        <w:t>2.4</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1C335796"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r w:rsidR="004E67B6">
        <w:rPr>
          <w:rFonts w:ascii="Arial" w:hAnsi="Arial" w:cs="Arial"/>
          <w:sz w:val="22"/>
          <w:szCs w:val="22"/>
          <w:lang w:val="en-CA"/>
        </w:rPr>
        <w:t>Enhanced CHO configurations delay requirements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503C8941"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A252B0">
        <w:rPr>
          <w:sz w:val="22"/>
          <w:lang w:val="en-CA"/>
        </w:rPr>
        <w:t>8</w:t>
      </w:r>
      <w:r w:rsidR="00DF2AA3">
        <w:rPr>
          <w:sz w:val="22"/>
          <w:lang w:val="en-CA"/>
        </w:rPr>
        <w:t xml:space="preserve"> </w:t>
      </w:r>
      <w:r w:rsidR="00004C4E">
        <w:rPr>
          <w:sz w:val="22"/>
          <w:lang w:val="en-CA"/>
        </w:rPr>
        <w:t>meeting</w:t>
      </w:r>
      <w:r w:rsidR="00564018">
        <w:rPr>
          <w:sz w:val="22"/>
          <w:lang w:val="en-CA"/>
        </w:rPr>
        <w:t xml:space="preserve"> Rel-1</w:t>
      </w:r>
      <w:r w:rsidR="00BD21C1">
        <w:rPr>
          <w:sz w:val="22"/>
          <w:lang w:val="en-CA"/>
        </w:rPr>
        <w:t>8</w:t>
      </w:r>
      <w:r w:rsidR="00564018">
        <w:rPr>
          <w:sz w:val="22"/>
          <w:lang w:val="en-CA"/>
        </w:rPr>
        <w:t xml:space="preserve"> </w:t>
      </w:r>
      <w:r w:rsidR="00590B40">
        <w:rPr>
          <w:sz w:val="22"/>
          <w:lang w:val="en-CA"/>
        </w:rPr>
        <w:t xml:space="preserve">enhanced CHO configurations </w:t>
      </w:r>
      <w:r w:rsidR="00A252B0">
        <w:rPr>
          <w:sz w:val="22"/>
          <w:lang w:val="en-CA"/>
        </w:rPr>
        <w:t xml:space="preserve">open issues </w:t>
      </w:r>
      <w:r w:rsidR="00590B40">
        <w:rPr>
          <w:sz w:val="22"/>
          <w:lang w:val="en-CA"/>
        </w:rPr>
        <w:t xml:space="preserve">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372663B"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proofErr w:type="gramStart"/>
      <w:r w:rsidRPr="00A23CD4">
        <w:rPr>
          <w:color w:val="000000" w:themeColor="text1"/>
          <w:lang w:val="en-US"/>
        </w:rPr>
        <w:t xml:space="preserve">3 </w:t>
      </w:r>
      <w:r w:rsidR="00632A5A">
        <w:rPr>
          <w:color w:val="000000" w:themeColor="text1"/>
          <w:lang w:val="en-US"/>
        </w:rPr>
        <w:t>,</w:t>
      </w:r>
      <w:proofErr w:type="gramEnd"/>
      <w:r w:rsidRPr="00A23CD4">
        <w:rPr>
          <w:color w:val="000000" w:themeColor="text1"/>
          <w:lang w:val="en-US"/>
        </w:rPr>
        <w:t>#</w:t>
      </w:r>
      <w:r w:rsidR="00632A5A">
        <w:rPr>
          <w:color w:val="000000" w:themeColor="text1"/>
          <w:lang w:val="en-US"/>
        </w:rPr>
        <w:t>4 and #5</w:t>
      </w:r>
      <w:r w:rsidRPr="00A23CD4">
        <w:rPr>
          <w:color w:val="000000" w:themeColor="text1"/>
          <w:lang w:val="en-US"/>
        </w:rPr>
        <w:t xml:space="preserve"> for information:</w:t>
      </w:r>
    </w:p>
    <w:p w14:paraId="6DE3C8D8" w14:textId="77777777" w:rsidR="00A23CD4" w:rsidRPr="00820717" w:rsidRDefault="00A23CD4" w:rsidP="00A23CD4">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820717">
        <w:rPr>
          <w:rFonts w:eastAsia="PMingLiU"/>
          <w:bCs/>
          <w:i/>
          <w:iCs/>
          <w:color w:val="0070C0"/>
          <w:lang w:val="en-US" w:eastAsia="en-GB"/>
        </w:rPr>
        <w:t>For CHO including target MCG and target SCG in NR-DC [RAN3]:</w:t>
      </w:r>
    </w:p>
    <w:p w14:paraId="569D082B" w14:textId="77777777" w:rsidR="00A23CD4" w:rsidRPr="00820717" w:rsidRDefault="00A23CD4" w:rsidP="00A23CD4">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820717">
        <w:rPr>
          <w:rFonts w:eastAsia="PMingLiU"/>
          <w:bCs/>
          <w:i/>
          <w:iCs/>
          <w:color w:val="0070C0"/>
          <w:lang w:val="en-US" w:eastAsia="en-GB"/>
        </w:rPr>
        <w:t>to specify data forwarding optimizations; and</w:t>
      </w:r>
    </w:p>
    <w:p w14:paraId="614F43A5" w14:textId="77777777" w:rsidR="00A23CD4" w:rsidRPr="00820717" w:rsidRDefault="00A23CD4" w:rsidP="00A23CD4">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820717">
        <w:rPr>
          <w:rFonts w:eastAsia="PMingLiU"/>
          <w:bCs/>
          <w:i/>
          <w:iCs/>
          <w:color w:val="0070C0"/>
          <w:lang w:val="en-US" w:eastAsia="en-GB"/>
        </w:rPr>
        <w:t xml:space="preserve">to specify, if needed, a solution to avoid unnecessary signaling exchange between source MN and target SN. </w:t>
      </w:r>
    </w:p>
    <w:p w14:paraId="38E2EB9B" w14:textId="77777777" w:rsidR="00A23CD4" w:rsidRPr="00820717" w:rsidRDefault="00A23CD4" w:rsidP="00A23CD4">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820717">
        <w:rPr>
          <w:rFonts w:eastAsia="PMingLiU"/>
          <w:bCs/>
          <w:i/>
          <w:iCs/>
          <w:color w:val="0070C0"/>
          <w:lang w:val="en-US" w:eastAsia="en-GB"/>
        </w:rPr>
        <w:t xml:space="preserve">To specify </w:t>
      </w:r>
      <w:bookmarkStart w:id="3" w:name="_Hlk127367451"/>
      <w:r w:rsidRPr="00820717">
        <w:rPr>
          <w:rFonts w:eastAsia="PMingLiU"/>
          <w:bCs/>
          <w:i/>
          <w:iCs/>
          <w:color w:val="0070C0"/>
          <w:lang w:val="en-US" w:eastAsia="en-GB"/>
        </w:rPr>
        <w:t>CHO including target MCG and candidate SCGs for CPC/CPA</w:t>
      </w:r>
      <w:bookmarkEnd w:id="3"/>
      <w:r w:rsidRPr="00820717">
        <w:rPr>
          <w:rFonts w:eastAsia="PMingLiU"/>
          <w:bCs/>
          <w:i/>
          <w:iCs/>
          <w:color w:val="0070C0"/>
          <w:lang w:val="en-US" w:eastAsia="en-GB"/>
        </w:rPr>
        <w:t xml:space="preserve"> in NR-DC [RAN3, RAN2]</w:t>
      </w:r>
    </w:p>
    <w:p w14:paraId="275FC57F" w14:textId="77777777" w:rsidR="008D52EB" w:rsidRDefault="00A23CD4" w:rsidP="008D52EB">
      <w:pPr>
        <w:numPr>
          <w:ilvl w:val="0"/>
          <w:numId w:val="23"/>
        </w:numPr>
        <w:overflowPunct w:val="0"/>
        <w:autoSpaceDE w:val="0"/>
        <w:autoSpaceDN w:val="0"/>
        <w:adjustRightInd w:val="0"/>
        <w:ind w:left="2484"/>
        <w:textAlignment w:val="baseline"/>
        <w:rPr>
          <w:rFonts w:eastAsia="PMingLiU"/>
          <w:bCs/>
          <w:lang w:val="en-US" w:eastAsia="en-GB"/>
        </w:rPr>
      </w:pPr>
      <w:r w:rsidRPr="00820717">
        <w:rPr>
          <w:rFonts w:eastAsia="PMingLiU"/>
          <w:bCs/>
          <w:i/>
          <w:iCs/>
          <w:color w:val="0070C0"/>
          <w:lang w:val="en-US" w:eastAsia="en-GB"/>
        </w:rPr>
        <w:t>CHO including target MCG and target SCG is used as the baseline</w:t>
      </w:r>
    </w:p>
    <w:p w14:paraId="4CF99C25" w14:textId="464C6330" w:rsidR="008D52EB" w:rsidRPr="00632A5A" w:rsidRDefault="008D52EB" w:rsidP="00632A5A">
      <w:pPr>
        <w:numPr>
          <w:ilvl w:val="0"/>
          <w:numId w:val="24"/>
        </w:numPr>
        <w:overflowPunct w:val="0"/>
        <w:autoSpaceDE w:val="0"/>
        <w:autoSpaceDN w:val="0"/>
        <w:adjustRightInd w:val="0"/>
        <w:ind w:left="2064"/>
        <w:textAlignment w:val="baseline"/>
        <w:rPr>
          <w:rFonts w:eastAsia="PMingLiU"/>
          <w:bCs/>
          <w:i/>
          <w:iCs/>
          <w:color w:val="0070C0"/>
          <w:lang w:val="en-US" w:eastAsia="en-GB"/>
        </w:rPr>
      </w:pPr>
      <w:r w:rsidRPr="00632A5A">
        <w:rPr>
          <w:rFonts w:eastAsia="PMingLiU"/>
          <w:bCs/>
          <w:i/>
          <w:iCs/>
          <w:color w:val="0070C0"/>
          <w:lang w:val="en-US" w:eastAsia="en-GB"/>
        </w:rPr>
        <w:t>To specify RRM core requirements for the following, as necessary [RAN4]:</w:t>
      </w:r>
    </w:p>
    <w:p w14:paraId="1EE81627" w14:textId="77777777" w:rsidR="008D52EB" w:rsidRPr="00632A5A" w:rsidRDefault="008D52EB" w:rsidP="00632A5A">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632A5A">
        <w:rPr>
          <w:rFonts w:eastAsia="PMingLiU"/>
          <w:bCs/>
          <w:i/>
          <w:iCs/>
          <w:color w:val="0070C0"/>
          <w:lang w:val="en-US" w:eastAsia="en-GB"/>
        </w:rPr>
        <w:t>L1/L2-based inter-cell mobility</w:t>
      </w:r>
    </w:p>
    <w:p w14:paraId="48A6A06C" w14:textId="77777777" w:rsidR="008D52EB" w:rsidRPr="00632A5A" w:rsidRDefault="008D52EB" w:rsidP="00632A5A">
      <w:pPr>
        <w:numPr>
          <w:ilvl w:val="0"/>
          <w:numId w:val="23"/>
        </w:numPr>
        <w:overflowPunct w:val="0"/>
        <w:autoSpaceDE w:val="0"/>
        <w:autoSpaceDN w:val="0"/>
        <w:adjustRightInd w:val="0"/>
        <w:ind w:left="2484"/>
        <w:textAlignment w:val="baseline"/>
        <w:rPr>
          <w:rFonts w:eastAsia="PMingLiU"/>
          <w:bCs/>
          <w:i/>
          <w:iCs/>
          <w:color w:val="0070C0"/>
          <w:lang w:val="en-US" w:eastAsia="en-GB"/>
        </w:rPr>
      </w:pPr>
      <w:r w:rsidRPr="00632A5A">
        <w:rPr>
          <w:rFonts w:eastAsia="PMingLiU"/>
          <w:bCs/>
          <w:i/>
          <w:iCs/>
          <w:color w:val="0070C0"/>
          <w:lang w:val="en-US" w:eastAsia="en-GB"/>
        </w:rPr>
        <w:t>Enhanced CHO configurations addressed by this WI</w:t>
      </w:r>
    </w:p>
    <w:p w14:paraId="47C07EA5" w14:textId="22BDBF51" w:rsidR="00E27E1D" w:rsidRDefault="00515947" w:rsidP="00E27E1D">
      <w:pPr>
        <w:pStyle w:val="Heading1"/>
        <w:ind w:left="431" w:hanging="431"/>
        <w:rPr>
          <w:szCs w:val="36"/>
          <w:lang w:val="en-CA"/>
        </w:rPr>
      </w:pPr>
      <w:r w:rsidRPr="00E27E1D">
        <w:rPr>
          <w:szCs w:val="36"/>
          <w:lang w:val="en-CA"/>
        </w:rPr>
        <w:t>Discussion</w:t>
      </w:r>
    </w:p>
    <w:p w14:paraId="7210862D" w14:textId="5909CBBC" w:rsidR="003F3D45" w:rsidRDefault="003F3D45" w:rsidP="003F3D45">
      <w:pPr>
        <w:pStyle w:val="Heading3"/>
        <w:numPr>
          <w:ilvl w:val="0"/>
          <w:numId w:val="0"/>
        </w:numPr>
        <w:rPr>
          <w:lang w:val="en-US"/>
        </w:rPr>
      </w:pPr>
      <w:r>
        <w:t>2.</w:t>
      </w:r>
      <w:r w:rsidR="00991755">
        <w:t>1</w:t>
      </w:r>
      <w:r>
        <w:t xml:space="preserve"> </w:t>
      </w:r>
      <w:r w:rsidRPr="00CC4FEC">
        <w:rPr>
          <w:lang w:val="en-US"/>
        </w:rPr>
        <w:t>CHO including target MCG and candidate SCG for CPC/CPA in NR-DC (obj. 4)</w:t>
      </w:r>
    </w:p>
    <w:p w14:paraId="3BB2AFF2" w14:textId="4A190A16" w:rsidR="008B12D4" w:rsidRDefault="008B12D4" w:rsidP="00991755">
      <w:pPr>
        <w:rPr>
          <w:lang w:val="en-US"/>
        </w:rPr>
      </w:pPr>
      <w:r>
        <w:rPr>
          <w:lang w:val="en-US"/>
        </w:rPr>
        <w:t xml:space="preserve">One of the main open </w:t>
      </w:r>
      <w:proofErr w:type="gramStart"/>
      <w:r>
        <w:rPr>
          <w:lang w:val="en-US"/>
        </w:rPr>
        <w:t>issue</w:t>
      </w:r>
      <w:proofErr w:type="gramEnd"/>
      <w:r>
        <w:rPr>
          <w:lang w:val="en-US"/>
        </w:rPr>
        <w:t xml:space="preserve"> discussed during RAN4-108 meeting within this topic is whether the CHO only configuration will always exist. Several rounds of discussion </w:t>
      </w:r>
      <w:proofErr w:type="gramStart"/>
      <w:r>
        <w:rPr>
          <w:lang w:val="en-US"/>
        </w:rPr>
        <w:t>was</w:t>
      </w:r>
      <w:proofErr w:type="gramEnd"/>
      <w:r>
        <w:rPr>
          <w:lang w:val="en-US"/>
        </w:rPr>
        <w:t xml:space="preserve"> focused on what requirement</w:t>
      </w:r>
      <w:r w:rsidR="003D12D8">
        <w:rPr>
          <w:lang w:val="en-US"/>
        </w:rPr>
        <w:t>s should be</w:t>
      </w:r>
      <w:r>
        <w:rPr>
          <w:lang w:val="en-US"/>
        </w:rPr>
        <w:t xml:space="preserve"> for CHO including target MCG and candidate SCG for CPC/CPA </w:t>
      </w:r>
      <w:r w:rsidR="003D12D8">
        <w:rPr>
          <w:lang w:val="en-US"/>
        </w:rPr>
        <w:t xml:space="preserve">when CHO-only configuration is not provided by the network. </w:t>
      </w:r>
    </w:p>
    <w:tbl>
      <w:tblPr>
        <w:tblStyle w:val="TableGrid"/>
        <w:tblW w:w="0" w:type="auto"/>
        <w:tblLook w:val="04A0" w:firstRow="1" w:lastRow="0" w:firstColumn="1" w:lastColumn="0" w:noHBand="0" w:noVBand="1"/>
      </w:tblPr>
      <w:tblGrid>
        <w:gridCol w:w="9629"/>
      </w:tblGrid>
      <w:tr w:rsidR="00AD6D57" w14:paraId="6E4C8D46" w14:textId="77777777" w:rsidTr="00AD6D57">
        <w:tc>
          <w:tcPr>
            <w:tcW w:w="9629" w:type="dxa"/>
          </w:tcPr>
          <w:p w14:paraId="35523921" w14:textId="77777777" w:rsidR="00FE76B2" w:rsidRPr="00724FBD" w:rsidRDefault="00FE76B2" w:rsidP="00FE76B2">
            <w:pPr>
              <w:rPr>
                <w:b/>
                <w:color w:val="000000" w:themeColor="text1"/>
                <w:u w:val="single"/>
                <w:lang w:val="en-US" w:eastAsia="ko-KR"/>
              </w:rPr>
            </w:pPr>
            <w:r w:rsidRPr="00F16C2D">
              <w:rPr>
                <w:b/>
                <w:color w:val="000000" w:themeColor="text1"/>
                <w:u w:val="single"/>
                <w:lang w:val="en-US" w:eastAsia="ko-KR"/>
              </w:rPr>
              <w:t>Issue 3-</w:t>
            </w:r>
            <w:r>
              <w:rPr>
                <w:b/>
                <w:color w:val="000000" w:themeColor="text1"/>
                <w:u w:val="single"/>
                <w:lang w:val="en-US" w:eastAsia="ko-KR"/>
              </w:rPr>
              <w:t>2</w:t>
            </w:r>
            <w:r w:rsidRPr="00F16C2D">
              <w:rPr>
                <w:b/>
                <w:color w:val="000000" w:themeColor="text1"/>
                <w:u w:val="single"/>
                <w:lang w:val="en-US" w:eastAsia="ko-KR"/>
              </w:rPr>
              <w:t xml:space="preserve">-1: </w:t>
            </w:r>
            <w:proofErr w:type="spellStart"/>
            <w:r w:rsidRPr="001F3952">
              <w:rPr>
                <w:b/>
                <w:color w:val="000000" w:themeColor="text1"/>
                <w:highlight w:val="cyan"/>
                <w:u w:val="single"/>
                <w:lang w:val="en-US" w:eastAsia="ko-KR"/>
              </w:rPr>
              <w:t>PCell</w:t>
            </w:r>
            <w:proofErr w:type="spellEnd"/>
            <w:r w:rsidRPr="00F16C2D">
              <w:rPr>
                <w:b/>
                <w:color w:val="000000" w:themeColor="text1"/>
                <w:u w:val="single"/>
                <w:lang w:val="en-US" w:eastAsia="ko-KR"/>
              </w:rPr>
              <w:t xml:space="preserve"> handover delay in </w:t>
            </w:r>
            <w:r w:rsidRPr="00F16C2D">
              <w:rPr>
                <w:b/>
                <w:bCs/>
                <w:color w:val="000000" w:themeColor="text1"/>
                <w:u w:val="single"/>
                <w:lang w:val="en-US" w:eastAsia="ko-KR"/>
              </w:rPr>
              <w:t>CHO including target MCG and candidate SCG for CPC/CPA in FR1+FR2 NR-DC (obj. 4)</w:t>
            </w:r>
          </w:p>
          <w:p w14:paraId="2E6685EC" w14:textId="77777777" w:rsidR="00FE76B2" w:rsidRPr="00F13510" w:rsidRDefault="00FE76B2" w:rsidP="00FE76B2">
            <w:pPr>
              <w:pStyle w:val="ListParagraph"/>
              <w:numPr>
                <w:ilvl w:val="0"/>
                <w:numId w:val="17"/>
              </w:numPr>
              <w:spacing w:after="120"/>
              <w:ind w:left="360"/>
              <w:contextualSpacing w:val="0"/>
              <w:rPr>
                <w:color w:val="000000" w:themeColor="text1"/>
                <w:u w:val="single"/>
                <w:lang w:val="en-US"/>
              </w:rPr>
            </w:pPr>
            <w:r w:rsidRPr="00F13510">
              <w:rPr>
                <w:color w:val="000000" w:themeColor="text1"/>
                <w:u w:val="single"/>
                <w:lang w:val="en-US"/>
              </w:rPr>
              <w:t>Agreement:</w:t>
            </w:r>
          </w:p>
          <w:p w14:paraId="2E2C8DE5" w14:textId="77777777" w:rsidR="00FE76B2" w:rsidRPr="00384723" w:rsidRDefault="00FE76B2" w:rsidP="00FE76B2">
            <w:pPr>
              <w:pStyle w:val="ListParagraph"/>
              <w:numPr>
                <w:ilvl w:val="1"/>
                <w:numId w:val="17"/>
              </w:numPr>
              <w:spacing w:after="120"/>
              <w:ind w:left="1080"/>
              <w:contextualSpacing w:val="0"/>
              <w:rPr>
                <w:color w:val="000000" w:themeColor="text1"/>
                <w:highlight w:val="yellow"/>
                <w:lang w:val="en-US"/>
              </w:rPr>
            </w:pPr>
            <w:r w:rsidRPr="00384723">
              <w:rPr>
                <w:bCs/>
                <w:color w:val="000000" w:themeColor="text1"/>
                <w:highlight w:val="yellow"/>
                <w:lang w:val="en-US"/>
              </w:rPr>
              <w:t>When the UE is NOT provided with CHO-only configuration</w:t>
            </w:r>
          </w:p>
          <w:p w14:paraId="7E4C57E3" w14:textId="77777777" w:rsidR="00FE76B2" w:rsidRPr="00F13510" w:rsidRDefault="00FE76B2" w:rsidP="00FE76B2">
            <w:pPr>
              <w:pStyle w:val="ListParagraph"/>
              <w:numPr>
                <w:ilvl w:val="2"/>
                <w:numId w:val="17"/>
              </w:numPr>
              <w:overflowPunct w:val="0"/>
              <w:autoSpaceDE w:val="0"/>
              <w:autoSpaceDN w:val="0"/>
              <w:adjustRightInd w:val="0"/>
              <w:spacing w:after="0"/>
              <w:ind w:left="1800"/>
              <w:contextualSpacing w:val="0"/>
              <w:textAlignment w:val="baseline"/>
              <w:rPr>
                <w:bCs/>
                <w:color w:val="000000" w:themeColor="text1"/>
                <w:lang w:val="en-US"/>
              </w:rPr>
            </w:pPr>
            <w:proofErr w:type="spellStart"/>
            <w:r w:rsidRPr="00F13510">
              <w:rPr>
                <w:bCs/>
                <w:color w:val="000000" w:themeColor="text1"/>
              </w:rPr>
              <w:t>D</w:t>
            </w:r>
            <w:r w:rsidRPr="00F13510">
              <w:rPr>
                <w:bCs/>
                <w:color w:val="000000" w:themeColor="text1"/>
                <w:vertAlign w:val="subscript"/>
              </w:rPr>
              <w:t>CHOwithCPAC_PCell</w:t>
            </w:r>
            <w:proofErr w:type="spellEnd"/>
            <w:r w:rsidRPr="00F13510">
              <w:rPr>
                <w:bCs/>
                <w:color w:val="000000" w:themeColor="text1"/>
              </w:rPr>
              <w:t xml:space="preserve"> = </w:t>
            </w:r>
            <w:r w:rsidRPr="00F13510">
              <w:rPr>
                <w:bCs/>
                <w:iCs/>
                <w:color w:val="000000" w:themeColor="text1"/>
                <w:lang w:val="en-US"/>
              </w:rPr>
              <w:t>T</w:t>
            </w:r>
            <w:r w:rsidRPr="00F13510">
              <w:rPr>
                <w:bCs/>
                <w:iCs/>
                <w:color w:val="000000" w:themeColor="text1"/>
                <w:vertAlign w:val="subscript"/>
                <w:lang w:val="en-US"/>
              </w:rPr>
              <w:t>RRC</w:t>
            </w:r>
            <w:r w:rsidRPr="00F13510">
              <w:rPr>
                <w:bCs/>
                <w:iCs/>
                <w:color w:val="000000" w:themeColor="text1"/>
                <w:lang w:val="en-US"/>
              </w:rPr>
              <w:t xml:space="preserve"> + </w:t>
            </w:r>
            <w:proofErr w:type="spellStart"/>
            <w:r w:rsidRPr="00F13510">
              <w:rPr>
                <w:bCs/>
                <w:color w:val="000000" w:themeColor="text1"/>
              </w:rPr>
              <w:t>T</w:t>
            </w:r>
            <w:r w:rsidRPr="00F13510">
              <w:rPr>
                <w:bCs/>
                <w:color w:val="000000" w:themeColor="text1"/>
                <w:vertAlign w:val="subscript"/>
              </w:rPr>
              <w:t>Event_DU</w:t>
            </w:r>
            <w:proofErr w:type="spellEnd"/>
            <w:r w:rsidRPr="00F13510">
              <w:rPr>
                <w:bCs/>
                <w:color w:val="000000" w:themeColor="text1"/>
              </w:rPr>
              <w:t xml:space="preserve"> + </w:t>
            </w:r>
            <w:proofErr w:type="gramStart"/>
            <w:r w:rsidRPr="00F13510">
              <w:rPr>
                <w:bCs/>
                <w:color w:val="000000" w:themeColor="text1"/>
              </w:rPr>
              <w:t>max(</w:t>
            </w:r>
            <w:proofErr w:type="spellStart"/>
            <w:proofErr w:type="gramEnd"/>
            <w:r w:rsidRPr="00F13510">
              <w:rPr>
                <w:bCs/>
                <w:color w:val="000000" w:themeColor="text1"/>
              </w:rPr>
              <w:t>T</w:t>
            </w:r>
            <w:r w:rsidRPr="00F13510">
              <w:rPr>
                <w:bCs/>
                <w:color w:val="000000" w:themeColor="text1"/>
                <w:vertAlign w:val="subscript"/>
              </w:rPr>
              <w:t>measure_CHO</w:t>
            </w:r>
            <w:proofErr w:type="spellEnd"/>
            <w:r w:rsidRPr="00F13510">
              <w:rPr>
                <w:bCs/>
                <w:color w:val="000000" w:themeColor="text1"/>
              </w:rPr>
              <w:t xml:space="preserve">, </w:t>
            </w:r>
            <w:proofErr w:type="spellStart"/>
            <w:r w:rsidRPr="00F13510">
              <w:rPr>
                <w:bCs/>
                <w:color w:val="000000" w:themeColor="text1"/>
              </w:rPr>
              <w:t>T</w:t>
            </w:r>
            <w:r w:rsidRPr="00F13510">
              <w:rPr>
                <w:bCs/>
                <w:color w:val="000000" w:themeColor="text1"/>
                <w:vertAlign w:val="subscript"/>
              </w:rPr>
              <w:t>measure_CPA</w:t>
            </w:r>
            <w:proofErr w:type="spellEnd"/>
            <w:r w:rsidRPr="00F13510">
              <w:rPr>
                <w:bCs/>
                <w:color w:val="000000" w:themeColor="text1"/>
                <w:vertAlign w:val="subscript"/>
              </w:rPr>
              <w:t>/CPC</w:t>
            </w:r>
            <w:r w:rsidRPr="00F13510">
              <w:rPr>
                <w:bCs/>
                <w:color w:val="000000" w:themeColor="text1"/>
              </w:rPr>
              <w:t xml:space="preserve">) </w:t>
            </w:r>
            <w:r w:rsidRPr="00F13510">
              <w:rPr>
                <w:bCs/>
                <w:iCs/>
                <w:color w:val="000000" w:themeColor="text1"/>
                <w:lang w:val="en-US"/>
              </w:rPr>
              <w:t xml:space="preserve">+ </w:t>
            </w:r>
            <w:proofErr w:type="spellStart"/>
            <w:r w:rsidRPr="00F13510">
              <w:rPr>
                <w:bCs/>
                <w:iCs/>
                <w:color w:val="000000" w:themeColor="text1"/>
                <w:lang w:val="en-US"/>
              </w:rPr>
              <w:t>T</w:t>
            </w:r>
            <w:r w:rsidRPr="00F13510">
              <w:rPr>
                <w:bCs/>
                <w:iCs/>
                <w:color w:val="000000" w:themeColor="text1"/>
                <w:vertAlign w:val="subscript"/>
                <w:lang w:val="en-US"/>
              </w:rPr>
              <w:t>processing</w:t>
            </w:r>
            <w:proofErr w:type="spellEnd"/>
            <w:r w:rsidRPr="00F13510">
              <w:rPr>
                <w:bCs/>
                <w:iCs/>
                <w:color w:val="000000" w:themeColor="text1"/>
                <w:lang w:val="en-US"/>
              </w:rPr>
              <w:t xml:space="preserve"> + T</w:t>
            </w:r>
            <w:r w:rsidRPr="00F13510">
              <w:rPr>
                <w:bCs/>
                <w:iCs/>
                <w:color w:val="000000" w:themeColor="text1"/>
                <w:vertAlign w:val="subscript"/>
                <w:lang w:val="en-US"/>
              </w:rPr>
              <w:t>IU</w:t>
            </w:r>
            <w:r w:rsidRPr="00F13510">
              <w:rPr>
                <w:bCs/>
                <w:iCs/>
                <w:color w:val="000000" w:themeColor="text1"/>
                <w:lang w:val="en-US"/>
              </w:rPr>
              <w:t xml:space="preserve"> + T</w:t>
            </w:r>
            <w:r w:rsidRPr="00F13510">
              <w:rPr>
                <w:bCs/>
                <w:iCs/>
                <w:color w:val="000000" w:themeColor="text1"/>
                <w:vertAlign w:val="subscript"/>
                <w:lang w:val="en-US"/>
              </w:rPr>
              <w:t>∆</w:t>
            </w:r>
            <w:r w:rsidRPr="00F13510">
              <w:rPr>
                <w:bCs/>
                <w:iCs/>
                <w:color w:val="000000" w:themeColor="text1"/>
                <w:lang w:val="en-US"/>
              </w:rPr>
              <w:t xml:space="preserve"> + </w:t>
            </w:r>
            <w:proofErr w:type="spellStart"/>
            <w:r w:rsidRPr="00F13510">
              <w:rPr>
                <w:bCs/>
                <w:iCs/>
                <w:color w:val="000000" w:themeColor="text1"/>
                <w:lang w:val="en-US"/>
              </w:rPr>
              <w:t>T</w:t>
            </w:r>
            <w:r w:rsidRPr="00F13510">
              <w:rPr>
                <w:bCs/>
                <w:iCs/>
                <w:color w:val="000000" w:themeColor="text1"/>
                <w:vertAlign w:val="subscript"/>
                <w:lang w:val="en-US"/>
              </w:rPr>
              <w:t>margin</w:t>
            </w:r>
            <w:proofErr w:type="spellEnd"/>
            <w:r w:rsidRPr="00F13510">
              <w:rPr>
                <w:bCs/>
                <w:iCs/>
                <w:color w:val="000000" w:themeColor="text1"/>
                <w:lang w:val="en-US"/>
              </w:rPr>
              <w:t xml:space="preserve"> + </w:t>
            </w:r>
            <w:proofErr w:type="spellStart"/>
            <w:r w:rsidRPr="00F13510">
              <w:rPr>
                <w:bCs/>
                <w:iCs/>
                <w:color w:val="000000" w:themeColor="text1"/>
                <w:lang w:val="en-US"/>
              </w:rPr>
              <w:t>T</w:t>
            </w:r>
            <w:r w:rsidRPr="00F13510">
              <w:rPr>
                <w:bCs/>
                <w:iCs/>
                <w:color w:val="000000" w:themeColor="text1"/>
                <w:vertAlign w:val="subscript"/>
                <w:lang w:val="en-US"/>
              </w:rPr>
              <w:t>CHO_execution</w:t>
            </w:r>
            <w:proofErr w:type="spellEnd"/>
          </w:p>
          <w:p w14:paraId="51D4AD87" w14:textId="77777777" w:rsidR="00FE76B2" w:rsidRPr="00F13510" w:rsidRDefault="00FE76B2" w:rsidP="00FE76B2">
            <w:pPr>
              <w:pStyle w:val="ListParagraph"/>
              <w:numPr>
                <w:ilvl w:val="3"/>
                <w:numId w:val="17"/>
              </w:numPr>
              <w:overflowPunct w:val="0"/>
              <w:autoSpaceDE w:val="0"/>
              <w:autoSpaceDN w:val="0"/>
              <w:adjustRightInd w:val="0"/>
              <w:spacing w:after="0"/>
              <w:ind w:left="2520"/>
              <w:contextualSpacing w:val="0"/>
              <w:textAlignment w:val="baseline"/>
              <w:rPr>
                <w:bCs/>
                <w:color w:val="000000" w:themeColor="text1"/>
                <w:lang w:val="en-US"/>
              </w:rPr>
            </w:pPr>
            <w:proofErr w:type="spellStart"/>
            <w:r w:rsidRPr="00F13510">
              <w:rPr>
                <w:bCs/>
                <w:color w:val="000000" w:themeColor="text1"/>
              </w:rPr>
              <w:t>T</w:t>
            </w:r>
            <w:r w:rsidRPr="00F13510">
              <w:rPr>
                <w:bCs/>
                <w:color w:val="000000" w:themeColor="text1"/>
                <w:vertAlign w:val="subscript"/>
              </w:rPr>
              <w:t>measure</w:t>
            </w:r>
            <w:proofErr w:type="spellEnd"/>
            <w:r w:rsidRPr="00F13510">
              <w:rPr>
                <w:bCs/>
                <w:color w:val="000000" w:themeColor="text1"/>
                <w:lang w:val="en-US"/>
              </w:rPr>
              <w:t xml:space="preserve"> for CHO is used as baseline for </w:t>
            </w:r>
            <w:proofErr w:type="spellStart"/>
            <w:r w:rsidRPr="00F13510">
              <w:rPr>
                <w:bCs/>
                <w:color w:val="000000" w:themeColor="text1"/>
              </w:rPr>
              <w:t>T</w:t>
            </w:r>
            <w:r w:rsidRPr="00F13510">
              <w:rPr>
                <w:bCs/>
                <w:color w:val="000000" w:themeColor="text1"/>
                <w:vertAlign w:val="subscript"/>
              </w:rPr>
              <w:t>measure_CHO</w:t>
            </w:r>
            <w:proofErr w:type="spellEnd"/>
          </w:p>
          <w:p w14:paraId="6711FCDE" w14:textId="77777777" w:rsidR="00FE76B2" w:rsidRPr="00F13510" w:rsidRDefault="00FE76B2" w:rsidP="00FE76B2">
            <w:pPr>
              <w:pStyle w:val="ListParagraph"/>
              <w:numPr>
                <w:ilvl w:val="3"/>
                <w:numId w:val="17"/>
              </w:numPr>
              <w:overflowPunct w:val="0"/>
              <w:autoSpaceDE w:val="0"/>
              <w:autoSpaceDN w:val="0"/>
              <w:adjustRightInd w:val="0"/>
              <w:spacing w:after="0"/>
              <w:ind w:left="2520"/>
              <w:contextualSpacing w:val="0"/>
              <w:textAlignment w:val="baseline"/>
              <w:rPr>
                <w:bCs/>
                <w:color w:val="000000" w:themeColor="text1"/>
                <w:lang w:val="en-US"/>
              </w:rPr>
            </w:pPr>
            <w:proofErr w:type="spellStart"/>
            <w:r w:rsidRPr="00F13510">
              <w:rPr>
                <w:bCs/>
                <w:color w:val="000000" w:themeColor="text1"/>
              </w:rPr>
              <w:t>T</w:t>
            </w:r>
            <w:r w:rsidRPr="00F13510">
              <w:rPr>
                <w:bCs/>
                <w:color w:val="000000" w:themeColor="text1"/>
                <w:vertAlign w:val="subscript"/>
              </w:rPr>
              <w:t>measure</w:t>
            </w:r>
            <w:proofErr w:type="spellEnd"/>
            <w:r w:rsidRPr="00F13510">
              <w:rPr>
                <w:bCs/>
                <w:color w:val="000000" w:themeColor="text1"/>
                <w:lang w:val="en-US"/>
              </w:rPr>
              <w:t xml:space="preserve"> for CPA/CPC is used as baseline for </w:t>
            </w:r>
            <w:proofErr w:type="spellStart"/>
            <w:r w:rsidRPr="00F13510">
              <w:rPr>
                <w:bCs/>
                <w:color w:val="000000" w:themeColor="text1"/>
              </w:rPr>
              <w:t>T</w:t>
            </w:r>
            <w:r w:rsidRPr="00F13510">
              <w:rPr>
                <w:bCs/>
                <w:color w:val="000000" w:themeColor="text1"/>
                <w:vertAlign w:val="subscript"/>
              </w:rPr>
              <w:t>measure_CPA</w:t>
            </w:r>
            <w:proofErr w:type="spellEnd"/>
            <w:r w:rsidRPr="00F13510">
              <w:rPr>
                <w:bCs/>
                <w:color w:val="000000" w:themeColor="text1"/>
                <w:vertAlign w:val="subscript"/>
              </w:rPr>
              <w:t>/CPC</w:t>
            </w:r>
          </w:p>
          <w:p w14:paraId="18441992" w14:textId="77777777" w:rsidR="00FE76B2" w:rsidRPr="00F16C2D" w:rsidRDefault="00FE76B2" w:rsidP="00FE76B2">
            <w:pPr>
              <w:rPr>
                <w:b/>
                <w:color w:val="000000" w:themeColor="text1"/>
                <w:u w:val="single"/>
                <w:lang w:val="en-US" w:eastAsia="ko-KR"/>
              </w:rPr>
            </w:pPr>
            <w:r w:rsidRPr="00F16C2D">
              <w:rPr>
                <w:b/>
                <w:color w:val="000000" w:themeColor="text1"/>
                <w:u w:val="single"/>
                <w:lang w:val="en-US" w:eastAsia="ko-KR"/>
              </w:rPr>
              <w:t>Issue 3-</w:t>
            </w:r>
            <w:r>
              <w:rPr>
                <w:b/>
                <w:color w:val="000000" w:themeColor="text1"/>
                <w:u w:val="single"/>
                <w:lang w:val="en-US" w:eastAsia="ko-KR"/>
              </w:rPr>
              <w:t>2</w:t>
            </w:r>
            <w:r w:rsidRPr="00F16C2D">
              <w:rPr>
                <w:b/>
                <w:color w:val="000000" w:themeColor="text1"/>
                <w:u w:val="single"/>
                <w:lang w:val="en-US" w:eastAsia="ko-KR"/>
              </w:rPr>
              <w:t xml:space="preserve">-2: </w:t>
            </w:r>
            <w:proofErr w:type="spellStart"/>
            <w:r w:rsidRPr="001F3952">
              <w:rPr>
                <w:b/>
                <w:color w:val="000000" w:themeColor="text1"/>
                <w:highlight w:val="cyan"/>
                <w:u w:val="single"/>
                <w:lang w:val="en-US" w:eastAsia="ko-KR"/>
              </w:rPr>
              <w:t>PSCell</w:t>
            </w:r>
            <w:proofErr w:type="spellEnd"/>
            <w:r w:rsidRPr="00F16C2D">
              <w:rPr>
                <w:b/>
                <w:color w:val="000000" w:themeColor="text1"/>
                <w:u w:val="single"/>
                <w:lang w:val="en-US" w:eastAsia="ko-KR"/>
              </w:rPr>
              <w:t xml:space="preserve"> handover delay in </w:t>
            </w:r>
            <w:r w:rsidRPr="00F16C2D">
              <w:rPr>
                <w:b/>
                <w:bCs/>
                <w:color w:val="000000" w:themeColor="text1"/>
                <w:u w:val="single"/>
                <w:lang w:val="en-US" w:eastAsia="ko-KR"/>
              </w:rPr>
              <w:t>CHO including target MCG and candidate SCG for CPC/CPA in FR1+FR2 NR-DC (obj. 4)</w:t>
            </w:r>
          </w:p>
          <w:p w14:paraId="0795B402" w14:textId="77777777" w:rsidR="00FE76B2" w:rsidRPr="00196700" w:rsidRDefault="00FE76B2" w:rsidP="00FE76B2">
            <w:pPr>
              <w:pStyle w:val="ListParagraph"/>
              <w:numPr>
                <w:ilvl w:val="0"/>
                <w:numId w:val="17"/>
              </w:numPr>
              <w:spacing w:after="120"/>
              <w:ind w:left="360"/>
              <w:contextualSpacing w:val="0"/>
              <w:rPr>
                <w:color w:val="000000" w:themeColor="text1"/>
                <w:u w:val="single"/>
                <w:lang w:val="en-US"/>
              </w:rPr>
            </w:pPr>
            <w:r w:rsidRPr="00196700">
              <w:rPr>
                <w:color w:val="000000" w:themeColor="text1"/>
                <w:u w:val="single"/>
                <w:lang w:val="en-US"/>
              </w:rPr>
              <w:t>Agreement:</w:t>
            </w:r>
          </w:p>
          <w:p w14:paraId="15276C86" w14:textId="77777777" w:rsidR="00FE76B2" w:rsidRPr="00384723" w:rsidRDefault="00FE76B2" w:rsidP="00FE76B2">
            <w:pPr>
              <w:pStyle w:val="ListParagraph"/>
              <w:numPr>
                <w:ilvl w:val="1"/>
                <w:numId w:val="17"/>
              </w:numPr>
              <w:spacing w:after="120"/>
              <w:ind w:left="1080"/>
              <w:contextualSpacing w:val="0"/>
              <w:rPr>
                <w:color w:val="000000" w:themeColor="text1"/>
                <w:highlight w:val="yellow"/>
                <w:lang w:val="en-US"/>
              </w:rPr>
            </w:pPr>
            <w:r w:rsidRPr="00384723">
              <w:rPr>
                <w:bCs/>
                <w:color w:val="000000" w:themeColor="text1"/>
                <w:highlight w:val="yellow"/>
                <w:lang w:val="en-US"/>
              </w:rPr>
              <w:t>When the UE is NOT provided with CHO-only configuration</w:t>
            </w:r>
          </w:p>
          <w:p w14:paraId="247B0236" w14:textId="77777777" w:rsidR="00FE76B2" w:rsidRPr="00196700" w:rsidRDefault="00FE76B2" w:rsidP="00FE76B2">
            <w:pPr>
              <w:pStyle w:val="ListParagraph"/>
              <w:numPr>
                <w:ilvl w:val="2"/>
                <w:numId w:val="17"/>
              </w:numPr>
              <w:overflowPunct w:val="0"/>
              <w:autoSpaceDE w:val="0"/>
              <w:autoSpaceDN w:val="0"/>
              <w:adjustRightInd w:val="0"/>
              <w:spacing w:after="0"/>
              <w:ind w:left="1800"/>
              <w:contextualSpacing w:val="0"/>
              <w:textAlignment w:val="baseline"/>
              <w:rPr>
                <w:bCs/>
                <w:color w:val="000000" w:themeColor="text1"/>
                <w:lang w:val="en-US"/>
              </w:rPr>
            </w:pPr>
            <w:proofErr w:type="spellStart"/>
            <w:r w:rsidRPr="00196700">
              <w:rPr>
                <w:bCs/>
                <w:color w:val="000000" w:themeColor="text1"/>
              </w:rPr>
              <w:t>D</w:t>
            </w:r>
            <w:r w:rsidRPr="00196700">
              <w:rPr>
                <w:bCs/>
                <w:color w:val="000000" w:themeColor="text1"/>
                <w:vertAlign w:val="subscript"/>
              </w:rPr>
              <w:t>CHOwithPSCell_P</w:t>
            </w:r>
            <w:proofErr w:type="spellEnd"/>
            <w:r w:rsidRPr="00196700">
              <w:rPr>
                <w:bCs/>
                <w:color w:val="000000" w:themeColor="text1"/>
                <w:vertAlign w:val="subscript"/>
                <w:lang w:val="en-US"/>
              </w:rPr>
              <w:t>S</w:t>
            </w:r>
            <w:r w:rsidRPr="00196700">
              <w:rPr>
                <w:bCs/>
                <w:color w:val="000000" w:themeColor="text1"/>
                <w:vertAlign w:val="subscript"/>
              </w:rPr>
              <w:t>Cell</w:t>
            </w:r>
            <w:r w:rsidRPr="00196700">
              <w:rPr>
                <w:bCs/>
                <w:color w:val="000000" w:themeColor="text1"/>
              </w:rPr>
              <w:t xml:space="preserve"> = T</w:t>
            </w:r>
            <w:r w:rsidRPr="00196700">
              <w:rPr>
                <w:bCs/>
                <w:color w:val="000000" w:themeColor="text1"/>
                <w:vertAlign w:val="subscript"/>
              </w:rPr>
              <w:t>RRC</w:t>
            </w:r>
            <w:r w:rsidRPr="00196700">
              <w:rPr>
                <w:bCs/>
                <w:color w:val="000000" w:themeColor="text1"/>
              </w:rPr>
              <w:t xml:space="preserve"> + </w:t>
            </w:r>
            <w:proofErr w:type="spellStart"/>
            <w:r w:rsidRPr="00196700">
              <w:rPr>
                <w:bCs/>
                <w:color w:val="000000" w:themeColor="text1"/>
              </w:rPr>
              <w:t>T</w:t>
            </w:r>
            <w:r w:rsidRPr="00196700">
              <w:rPr>
                <w:bCs/>
                <w:color w:val="000000" w:themeColor="text1"/>
                <w:vertAlign w:val="subscript"/>
              </w:rPr>
              <w:t>Event_DU</w:t>
            </w:r>
            <w:proofErr w:type="spellEnd"/>
            <w:r w:rsidRPr="00196700">
              <w:rPr>
                <w:bCs/>
                <w:color w:val="000000" w:themeColor="text1"/>
              </w:rPr>
              <w:t xml:space="preserve"> + </w:t>
            </w:r>
            <w:proofErr w:type="gramStart"/>
            <w:r w:rsidRPr="00196700">
              <w:rPr>
                <w:bCs/>
                <w:color w:val="000000" w:themeColor="text1"/>
              </w:rPr>
              <w:t>max(</w:t>
            </w:r>
            <w:proofErr w:type="spellStart"/>
            <w:proofErr w:type="gramEnd"/>
            <w:r w:rsidRPr="00196700">
              <w:rPr>
                <w:bCs/>
                <w:color w:val="000000" w:themeColor="text1"/>
              </w:rPr>
              <w:t>T</w:t>
            </w:r>
            <w:r w:rsidRPr="00196700">
              <w:rPr>
                <w:bCs/>
                <w:color w:val="000000" w:themeColor="text1"/>
                <w:vertAlign w:val="subscript"/>
              </w:rPr>
              <w:t>measure_CHO</w:t>
            </w:r>
            <w:proofErr w:type="spellEnd"/>
            <w:r w:rsidRPr="00196700">
              <w:rPr>
                <w:bCs/>
                <w:color w:val="000000" w:themeColor="text1"/>
              </w:rPr>
              <w:t xml:space="preserve">, </w:t>
            </w:r>
            <w:proofErr w:type="spellStart"/>
            <w:r w:rsidRPr="00196700">
              <w:rPr>
                <w:bCs/>
                <w:color w:val="000000" w:themeColor="text1"/>
              </w:rPr>
              <w:t>T</w:t>
            </w:r>
            <w:r w:rsidRPr="00196700">
              <w:rPr>
                <w:bCs/>
                <w:color w:val="000000" w:themeColor="text1"/>
                <w:vertAlign w:val="subscript"/>
              </w:rPr>
              <w:t>measure_CPA</w:t>
            </w:r>
            <w:proofErr w:type="spellEnd"/>
            <w:r w:rsidRPr="00196700">
              <w:rPr>
                <w:bCs/>
                <w:color w:val="000000" w:themeColor="text1"/>
                <w:vertAlign w:val="subscript"/>
              </w:rPr>
              <w:t>/CPC</w:t>
            </w:r>
            <w:r w:rsidRPr="00196700">
              <w:rPr>
                <w:bCs/>
                <w:color w:val="000000" w:themeColor="text1"/>
              </w:rPr>
              <w:t xml:space="preserve">) + </w:t>
            </w:r>
            <w:proofErr w:type="spellStart"/>
            <w:r w:rsidRPr="00196700">
              <w:rPr>
                <w:bCs/>
                <w:color w:val="000000" w:themeColor="text1"/>
              </w:rPr>
              <w:t>T</w:t>
            </w:r>
            <w:r w:rsidRPr="00196700">
              <w:rPr>
                <w:bCs/>
                <w:color w:val="000000" w:themeColor="text1"/>
                <w:vertAlign w:val="subscript"/>
              </w:rPr>
              <w:t>CHO_execution</w:t>
            </w:r>
            <w:proofErr w:type="spellEnd"/>
            <w:r w:rsidRPr="00196700">
              <w:rPr>
                <w:bCs/>
                <w:color w:val="000000" w:themeColor="text1"/>
              </w:rPr>
              <w:t xml:space="preserve"> + </w:t>
            </w:r>
            <w:proofErr w:type="spellStart"/>
            <w:r w:rsidRPr="00196700">
              <w:rPr>
                <w:bCs/>
                <w:color w:val="000000" w:themeColor="text1"/>
              </w:rPr>
              <w:t>T</w:t>
            </w:r>
            <w:r w:rsidRPr="00196700">
              <w:rPr>
                <w:bCs/>
                <w:color w:val="000000" w:themeColor="text1"/>
                <w:vertAlign w:val="subscript"/>
              </w:rPr>
              <w:t>processing</w:t>
            </w:r>
            <w:proofErr w:type="spellEnd"/>
            <w:r w:rsidRPr="00196700">
              <w:rPr>
                <w:bCs/>
                <w:color w:val="000000" w:themeColor="text1"/>
              </w:rPr>
              <w:t xml:space="preserve"> + T</w:t>
            </w:r>
            <w:r w:rsidRPr="00196700">
              <w:rPr>
                <w:bCs/>
                <w:color w:val="000000" w:themeColor="text1"/>
                <w:vertAlign w:val="subscript"/>
              </w:rPr>
              <w:t>∆_</w:t>
            </w:r>
            <w:proofErr w:type="spellStart"/>
            <w:r w:rsidRPr="00196700">
              <w:rPr>
                <w:bCs/>
                <w:color w:val="000000" w:themeColor="text1"/>
                <w:vertAlign w:val="subscript"/>
              </w:rPr>
              <w:t>PSCell</w:t>
            </w:r>
            <w:proofErr w:type="spellEnd"/>
            <w:r w:rsidRPr="00196700">
              <w:rPr>
                <w:bCs/>
                <w:color w:val="000000" w:themeColor="text1"/>
              </w:rPr>
              <w:t xml:space="preserve"> + </w:t>
            </w:r>
            <w:proofErr w:type="spellStart"/>
            <w:r w:rsidRPr="00196700">
              <w:rPr>
                <w:bCs/>
                <w:color w:val="000000" w:themeColor="text1"/>
              </w:rPr>
              <w:t>T</w:t>
            </w:r>
            <w:r w:rsidRPr="00196700">
              <w:rPr>
                <w:bCs/>
                <w:color w:val="000000" w:themeColor="text1"/>
                <w:vertAlign w:val="subscript"/>
              </w:rPr>
              <w:t>PSCell</w:t>
            </w:r>
            <w:proofErr w:type="spellEnd"/>
            <w:r w:rsidRPr="00196700">
              <w:rPr>
                <w:bCs/>
                <w:color w:val="000000" w:themeColor="text1"/>
                <w:vertAlign w:val="subscript"/>
              </w:rPr>
              <w:t>_ DU</w:t>
            </w:r>
            <w:r w:rsidRPr="00196700">
              <w:rPr>
                <w:bCs/>
                <w:color w:val="000000" w:themeColor="text1"/>
              </w:rPr>
              <w:t xml:space="preserve"> + 2 </w:t>
            </w:r>
            <w:proofErr w:type="spellStart"/>
            <w:r w:rsidRPr="00196700">
              <w:rPr>
                <w:bCs/>
                <w:color w:val="000000" w:themeColor="text1"/>
              </w:rPr>
              <w:t>ms</w:t>
            </w:r>
            <w:proofErr w:type="spellEnd"/>
            <w:r w:rsidRPr="00196700">
              <w:rPr>
                <w:bCs/>
                <w:color w:val="000000" w:themeColor="text1"/>
              </w:rPr>
              <w:t>,</w:t>
            </w:r>
          </w:p>
          <w:p w14:paraId="1E108791" w14:textId="77777777" w:rsidR="00FE76B2" w:rsidRPr="00196700" w:rsidRDefault="00FE76B2" w:rsidP="00FE76B2">
            <w:pPr>
              <w:pStyle w:val="ListParagraph"/>
              <w:numPr>
                <w:ilvl w:val="3"/>
                <w:numId w:val="17"/>
              </w:numPr>
              <w:overflowPunct w:val="0"/>
              <w:autoSpaceDE w:val="0"/>
              <w:autoSpaceDN w:val="0"/>
              <w:adjustRightInd w:val="0"/>
              <w:spacing w:after="0"/>
              <w:ind w:left="2520"/>
              <w:contextualSpacing w:val="0"/>
              <w:textAlignment w:val="baseline"/>
              <w:rPr>
                <w:bCs/>
                <w:color w:val="000000" w:themeColor="text1"/>
                <w:lang w:val="en-US"/>
              </w:rPr>
            </w:pPr>
            <w:proofErr w:type="spellStart"/>
            <w:r w:rsidRPr="00196700">
              <w:rPr>
                <w:bCs/>
                <w:color w:val="000000" w:themeColor="text1"/>
              </w:rPr>
              <w:lastRenderedPageBreak/>
              <w:t>T</w:t>
            </w:r>
            <w:r w:rsidRPr="00196700">
              <w:rPr>
                <w:bCs/>
                <w:color w:val="000000" w:themeColor="text1"/>
                <w:vertAlign w:val="subscript"/>
              </w:rPr>
              <w:t>measure</w:t>
            </w:r>
            <w:proofErr w:type="spellEnd"/>
            <w:r w:rsidRPr="00196700">
              <w:rPr>
                <w:bCs/>
                <w:color w:val="000000" w:themeColor="text1"/>
                <w:lang w:val="en-US"/>
              </w:rPr>
              <w:t xml:space="preserve"> for CHO is used as baseline for </w:t>
            </w:r>
            <w:proofErr w:type="spellStart"/>
            <w:r w:rsidRPr="00196700">
              <w:rPr>
                <w:bCs/>
                <w:color w:val="000000" w:themeColor="text1"/>
              </w:rPr>
              <w:t>T</w:t>
            </w:r>
            <w:r w:rsidRPr="00196700">
              <w:rPr>
                <w:bCs/>
                <w:color w:val="000000" w:themeColor="text1"/>
                <w:vertAlign w:val="subscript"/>
              </w:rPr>
              <w:t>measure_CHO</w:t>
            </w:r>
            <w:proofErr w:type="spellEnd"/>
          </w:p>
          <w:p w14:paraId="7B2D971F" w14:textId="77777777" w:rsidR="00FE76B2" w:rsidRPr="00196700" w:rsidRDefault="00FE76B2" w:rsidP="00FE76B2">
            <w:pPr>
              <w:pStyle w:val="ListParagraph"/>
              <w:numPr>
                <w:ilvl w:val="3"/>
                <w:numId w:val="17"/>
              </w:numPr>
              <w:overflowPunct w:val="0"/>
              <w:autoSpaceDE w:val="0"/>
              <w:autoSpaceDN w:val="0"/>
              <w:adjustRightInd w:val="0"/>
              <w:spacing w:after="0"/>
              <w:ind w:left="2520"/>
              <w:contextualSpacing w:val="0"/>
              <w:textAlignment w:val="baseline"/>
              <w:rPr>
                <w:bCs/>
                <w:color w:val="000000" w:themeColor="text1"/>
                <w:lang w:val="en-US"/>
              </w:rPr>
            </w:pPr>
            <w:proofErr w:type="spellStart"/>
            <w:r w:rsidRPr="00196700">
              <w:rPr>
                <w:bCs/>
                <w:color w:val="000000" w:themeColor="text1"/>
              </w:rPr>
              <w:t>T</w:t>
            </w:r>
            <w:r w:rsidRPr="00196700">
              <w:rPr>
                <w:bCs/>
                <w:color w:val="000000" w:themeColor="text1"/>
                <w:vertAlign w:val="subscript"/>
              </w:rPr>
              <w:t>measure</w:t>
            </w:r>
            <w:proofErr w:type="spellEnd"/>
            <w:r w:rsidRPr="00196700">
              <w:rPr>
                <w:bCs/>
                <w:color w:val="000000" w:themeColor="text1"/>
                <w:lang w:val="en-US"/>
              </w:rPr>
              <w:t xml:space="preserve"> for CPA/CPC is used as baseline for </w:t>
            </w:r>
            <w:proofErr w:type="spellStart"/>
            <w:r w:rsidRPr="00196700">
              <w:rPr>
                <w:bCs/>
                <w:color w:val="000000" w:themeColor="text1"/>
              </w:rPr>
              <w:t>T</w:t>
            </w:r>
            <w:r w:rsidRPr="00196700">
              <w:rPr>
                <w:bCs/>
                <w:color w:val="000000" w:themeColor="text1"/>
                <w:vertAlign w:val="subscript"/>
              </w:rPr>
              <w:t>measure_CPA</w:t>
            </w:r>
            <w:proofErr w:type="spellEnd"/>
            <w:r w:rsidRPr="00196700">
              <w:rPr>
                <w:bCs/>
                <w:color w:val="000000" w:themeColor="text1"/>
                <w:vertAlign w:val="subscript"/>
              </w:rPr>
              <w:t>/CPC</w:t>
            </w:r>
          </w:p>
          <w:p w14:paraId="03D3C581" w14:textId="77777777" w:rsidR="00AD6D57" w:rsidRDefault="00AD6D57" w:rsidP="00991755">
            <w:pPr>
              <w:rPr>
                <w:lang w:val="en-US"/>
              </w:rPr>
            </w:pPr>
          </w:p>
        </w:tc>
      </w:tr>
    </w:tbl>
    <w:p w14:paraId="7AA05200" w14:textId="6CF01ED4" w:rsidR="00991755" w:rsidRDefault="00835612" w:rsidP="00991755">
      <w:pPr>
        <w:rPr>
          <w:lang w:val="en-US"/>
        </w:rPr>
      </w:pPr>
      <w:proofErr w:type="gramStart"/>
      <w:r>
        <w:rPr>
          <w:lang w:val="en-US"/>
        </w:rPr>
        <w:lastRenderedPageBreak/>
        <w:t>However</w:t>
      </w:r>
      <w:proofErr w:type="gramEnd"/>
      <w:r>
        <w:rPr>
          <w:lang w:val="en-US"/>
        </w:rPr>
        <w:t xml:space="preserve"> based on current RAN2 agreements from these 2 meeting bellow </w:t>
      </w:r>
    </w:p>
    <w:tbl>
      <w:tblPr>
        <w:tblStyle w:val="TableGrid"/>
        <w:tblW w:w="0" w:type="auto"/>
        <w:tblLook w:val="04A0" w:firstRow="1" w:lastRow="0" w:firstColumn="1" w:lastColumn="0" w:noHBand="0" w:noVBand="1"/>
      </w:tblPr>
      <w:tblGrid>
        <w:gridCol w:w="9629"/>
      </w:tblGrid>
      <w:tr w:rsidR="001541CA" w14:paraId="23E0A6EE" w14:textId="77777777" w:rsidTr="001541CA">
        <w:tc>
          <w:tcPr>
            <w:tcW w:w="9629" w:type="dxa"/>
          </w:tcPr>
          <w:p w14:paraId="2D1F61CF" w14:textId="5BEDD8EF" w:rsidR="001541CA" w:rsidRPr="00AB0CC3" w:rsidRDefault="001541CA" w:rsidP="0098297D">
            <w:pPr>
              <w:pStyle w:val="Agreement"/>
              <w:numPr>
                <w:ilvl w:val="0"/>
                <w:numId w:val="0"/>
              </w:numPr>
              <w:rPr>
                <w:lang w:val="en-CA"/>
              </w:rPr>
            </w:pPr>
            <w:r w:rsidRPr="00AB0CC3">
              <w:rPr>
                <w:rFonts w:ascii="Times New Roman" w:eastAsia="SimSun" w:hAnsi="Times New Roman"/>
                <w:b w:val="0"/>
                <w:szCs w:val="20"/>
                <w:lang w:val="en-CA" w:eastAsia="en-US"/>
              </w:rPr>
              <w:t>During RAN2 #</w:t>
            </w:r>
            <w:r w:rsidR="004C43B9">
              <w:rPr>
                <w:rFonts w:ascii="Times New Roman" w:eastAsia="SimSun" w:hAnsi="Times New Roman"/>
                <w:b w:val="0"/>
                <w:szCs w:val="20"/>
                <w:lang w:val="en-CA" w:eastAsia="en-US"/>
              </w:rPr>
              <w:t>122</w:t>
            </w:r>
            <w:r w:rsidRPr="00AB0CC3">
              <w:rPr>
                <w:rFonts w:ascii="Times New Roman" w:eastAsia="SimSun" w:hAnsi="Times New Roman"/>
                <w:b w:val="0"/>
                <w:szCs w:val="20"/>
                <w:lang w:val="en-CA" w:eastAsia="en-US"/>
              </w:rPr>
              <w:t xml:space="preserve"> meeting, the agreements were </w:t>
            </w:r>
            <w:proofErr w:type="gramStart"/>
            <w:r w:rsidRPr="00AB0CC3">
              <w:rPr>
                <w:rFonts w:ascii="Times New Roman" w:eastAsia="SimSun" w:hAnsi="Times New Roman"/>
                <w:b w:val="0"/>
                <w:szCs w:val="20"/>
                <w:lang w:val="en-CA" w:eastAsia="en-US"/>
              </w:rPr>
              <w:t>reached</w:t>
            </w:r>
            <w:proofErr w:type="gramEnd"/>
          </w:p>
          <w:p w14:paraId="6A34B690" w14:textId="77777777" w:rsidR="001541CA" w:rsidRPr="003D12D8" w:rsidRDefault="001541CA" w:rsidP="001541CA">
            <w:pPr>
              <w:pStyle w:val="Agreement"/>
              <w:tabs>
                <w:tab w:val="clear" w:pos="1496"/>
                <w:tab w:val="clear" w:pos="6201"/>
              </w:tabs>
              <w:ind w:left="1619"/>
              <w:rPr>
                <w:lang w:val="en-US"/>
              </w:rPr>
            </w:pPr>
            <w:r w:rsidRPr="003D12D8">
              <w:rPr>
                <w:lang w:val="en-US"/>
              </w:rPr>
              <w:t xml:space="preserve">When the CPA/CPC execution condition is met but no CHO execution condition is met, the UE continues to evaluate both CHO and CPA/CPC execution conditions. </w:t>
            </w:r>
          </w:p>
          <w:p w14:paraId="034C9EAA" w14:textId="77777777" w:rsidR="001541CA" w:rsidRPr="003D12D8" w:rsidRDefault="001541CA" w:rsidP="001541CA">
            <w:pPr>
              <w:pStyle w:val="Agreement"/>
              <w:tabs>
                <w:tab w:val="clear" w:pos="1496"/>
                <w:tab w:val="clear" w:pos="6201"/>
              </w:tabs>
              <w:ind w:left="1619"/>
              <w:rPr>
                <w:lang w:val="en-US"/>
              </w:rPr>
            </w:pPr>
            <w:r w:rsidRPr="003D12D8">
              <w:rPr>
                <w:lang w:val="en-US"/>
              </w:rPr>
              <w:t xml:space="preserve">For CHO+CPC we only consider execution when BOTH conditions are met. </w:t>
            </w:r>
          </w:p>
          <w:p w14:paraId="4F97DCD9" w14:textId="77777777" w:rsidR="001541CA" w:rsidRDefault="001541CA" w:rsidP="0098297D">
            <w:pPr>
              <w:pStyle w:val="Agreement"/>
              <w:numPr>
                <w:ilvl w:val="0"/>
                <w:numId w:val="0"/>
              </w:numPr>
              <w:ind w:left="1619"/>
              <w:rPr>
                <w:lang w:val="en-US"/>
              </w:rPr>
            </w:pPr>
            <w:r>
              <w:rPr>
                <w:lang w:val="en-US"/>
              </w:rPr>
              <w:t>(</w:t>
            </w:r>
            <w:r w:rsidRPr="00245DB6">
              <w:rPr>
                <w:lang w:val="en-US"/>
              </w:rPr>
              <w:t>When the CHO execution condition is met but no CPC execution condition is met, if there is an available CHO-only or Rel-17 CHO with SCG configuration for which the CHO condition is met, the UE performs the CHO-only or Rel-17 CHO with SCG execution</w:t>
            </w:r>
            <w:r>
              <w:rPr>
                <w:lang w:val="en-US"/>
              </w:rPr>
              <w:t>, and THUS the network can handle such situation by providing proper configurations)</w:t>
            </w:r>
            <w:r w:rsidRPr="00245DB6">
              <w:rPr>
                <w:lang w:val="en-US"/>
              </w:rPr>
              <w:t xml:space="preserve">. </w:t>
            </w:r>
          </w:p>
          <w:p w14:paraId="0B2FC0D6" w14:textId="6B61D4C4" w:rsidR="00835612" w:rsidRDefault="00835612" w:rsidP="00835612">
            <w:pPr>
              <w:pStyle w:val="Agreement"/>
              <w:numPr>
                <w:ilvl w:val="0"/>
                <w:numId w:val="0"/>
              </w:numPr>
              <w:rPr>
                <w:rFonts w:ascii="Times New Roman" w:eastAsia="SimSun" w:hAnsi="Times New Roman"/>
                <w:b w:val="0"/>
                <w:szCs w:val="20"/>
                <w:lang w:val="en-CA" w:eastAsia="en-US"/>
              </w:rPr>
            </w:pPr>
            <w:r w:rsidRPr="00AB0CC3">
              <w:rPr>
                <w:rFonts w:ascii="Times New Roman" w:eastAsia="SimSun" w:hAnsi="Times New Roman"/>
                <w:b w:val="0"/>
                <w:szCs w:val="20"/>
                <w:lang w:val="en-CA" w:eastAsia="en-US"/>
              </w:rPr>
              <w:t>During RAN2 #12</w:t>
            </w:r>
            <w:r w:rsidR="004C43B9">
              <w:rPr>
                <w:rFonts w:ascii="Times New Roman" w:eastAsia="SimSun" w:hAnsi="Times New Roman"/>
                <w:b w:val="0"/>
                <w:szCs w:val="20"/>
                <w:lang w:val="en-CA" w:eastAsia="en-US"/>
              </w:rPr>
              <w:t>3</w:t>
            </w:r>
            <w:r w:rsidRPr="00AB0CC3">
              <w:rPr>
                <w:rFonts w:ascii="Times New Roman" w:eastAsia="SimSun" w:hAnsi="Times New Roman"/>
                <w:b w:val="0"/>
                <w:szCs w:val="20"/>
                <w:lang w:val="en-CA" w:eastAsia="en-US"/>
              </w:rPr>
              <w:t xml:space="preserve"> meeting, the agreements were </w:t>
            </w:r>
            <w:proofErr w:type="gramStart"/>
            <w:r w:rsidRPr="00AB0CC3">
              <w:rPr>
                <w:rFonts w:ascii="Times New Roman" w:eastAsia="SimSun" w:hAnsi="Times New Roman"/>
                <w:b w:val="0"/>
                <w:szCs w:val="20"/>
                <w:lang w:val="en-CA" w:eastAsia="en-US"/>
              </w:rPr>
              <w:t>reached</w:t>
            </w:r>
            <w:proofErr w:type="gramEnd"/>
          </w:p>
          <w:p w14:paraId="229D0D10" w14:textId="61B69866" w:rsidR="004C43B9" w:rsidRPr="008F33AC" w:rsidRDefault="008F33AC" w:rsidP="008F33AC">
            <w:pPr>
              <w:pStyle w:val="Agreement"/>
              <w:tabs>
                <w:tab w:val="clear" w:pos="1496"/>
                <w:tab w:val="clear" w:pos="6201"/>
              </w:tabs>
              <w:ind w:left="1619"/>
            </w:pPr>
            <w:r>
              <w:t>UE does not remove the configuration for CHO including target MCG and candidate SCG configuration automatically when SCG is to be released.</w:t>
            </w:r>
          </w:p>
          <w:p w14:paraId="7CCEC821" w14:textId="52DBA6B9" w:rsidR="00835612" w:rsidRPr="00835612" w:rsidRDefault="00835612" w:rsidP="00835612">
            <w:pPr>
              <w:pStyle w:val="Doc-text2"/>
              <w:rPr>
                <w:lang w:val="en-CA"/>
              </w:rPr>
            </w:pPr>
          </w:p>
        </w:tc>
      </w:tr>
    </w:tbl>
    <w:p w14:paraId="5E2BFE1A" w14:textId="454A2841" w:rsidR="00A00119" w:rsidRDefault="00A00119" w:rsidP="001541CA">
      <w:pPr>
        <w:pStyle w:val="Doc-text2"/>
        <w:ind w:left="0" w:firstLine="0"/>
      </w:pPr>
    </w:p>
    <w:p w14:paraId="084F5683" w14:textId="72EF45C1" w:rsidR="00980A36" w:rsidRDefault="000A226D" w:rsidP="00980A36">
      <w:pPr>
        <w:rPr>
          <w:lang w:val="en-CA"/>
        </w:rPr>
      </w:pPr>
      <w:r>
        <w:rPr>
          <w:lang w:val="en-CA"/>
        </w:rPr>
        <w:t xml:space="preserve">When UE is being configured with CHO+CPAC in one RRC message, there will always be the CHO configuration exist. </w:t>
      </w:r>
      <w:r w:rsidR="00BB6008">
        <w:rPr>
          <w:lang w:val="en-CA"/>
        </w:rPr>
        <w:t xml:space="preserve">However, the SCG configurations </w:t>
      </w:r>
      <w:r w:rsidR="00D67E85">
        <w:rPr>
          <w:lang w:val="en-CA"/>
        </w:rPr>
        <w:t xml:space="preserve">can be </w:t>
      </w:r>
      <w:proofErr w:type="gramStart"/>
      <w:r w:rsidR="00D67E85">
        <w:rPr>
          <w:lang w:val="en-CA"/>
        </w:rPr>
        <w:t>released .</w:t>
      </w:r>
      <w:r>
        <w:rPr>
          <w:lang w:val="en-CA"/>
        </w:rPr>
        <w:t>Whether</w:t>
      </w:r>
      <w:proofErr w:type="gramEnd"/>
      <w:r>
        <w:rPr>
          <w:lang w:val="en-CA"/>
        </w:rPr>
        <w:t xml:space="preserve"> CHO-only </w:t>
      </w:r>
      <w:r w:rsidR="00EF139A">
        <w:rPr>
          <w:lang w:val="en-CA"/>
        </w:rPr>
        <w:t xml:space="preserve">configuration will be there depends on whether UE will remove the default </w:t>
      </w:r>
      <w:r w:rsidR="00A50271">
        <w:rPr>
          <w:lang w:val="en-CA"/>
        </w:rPr>
        <w:t>MCG configurations.</w:t>
      </w:r>
    </w:p>
    <w:p w14:paraId="67331C57" w14:textId="1E634031" w:rsidR="00A50271" w:rsidRDefault="00A50271" w:rsidP="00980A36">
      <w:pPr>
        <w:rPr>
          <w:lang w:val="en-CA"/>
        </w:rPr>
      </w:pPr>
      <w:r>
        <w:rPr>
          <w:lang w:val="en-CA"/>
        </w:rPr>
        <w:t>During RAN2#123 meeting, there is an agreement that UE will not remove the CHO configurations when release SCG</w:t>
      </w:r>
      <w:r w:rsidR="00C8125A">
        <w:rPr>
          <w:lang w:val="en-CA"/>
        </w:rPr>
        <w:t xml:space="preserve">. This to our understanding the CHO-only configuration will always exist, either it is a new configuration from </w:t>
      </w:r>
      <w:proofErr w:type="gramStart"/>
      <w:r w:rsidR="00C8125A">
        <w:rPr>
          <w:lang w:val="en-CA"/>
        </w:rPr>
        <w:t>NW</w:t>
      </w:r>
      <w:proofErr w:type="gramEnd"/>
      <w:r w:rsidR="00C8125A">
        <w:rPr>
          <w:lang w:val="en-CA"/>
        </w:rPr>
        <w:t xml:space="preserve"> or it is the existing CHO configuration. </w:t>
      </w:r>
    </w:p>
    <w:p w14:paraId="086A78EA" w14:textId="2C29B556" w:rsidR="000A226D" w:rsidRDefault="00384723" w:rsidP="00980A36">
      <w:pPr>
        <w:rPr>
          <w:lang w:val="en-CA"/>
        </w:rPr>
      </w:pPr>
      <w:r>
        <w:rPr>
          <w:lang w:val="en-CA"/>
        </w:rPr>
        <w:t xml:space="preserve">To simplify the requirements setting there is no need to separate whether CHO-only configuration is provided or not as the previous agreement has already separate the 3 different scenarios </w:t>
      </w:r>
      <w:r w:rsidR="002D4CD9">
        <w:rPr>
          <w:lang w:val="en-CA"/>
        </w:rPr>
        <w:t xml:space="preserve">which requirements CHO with different configurations shall apply. The big CR </w:t>
      </w:r>
      <w:r w:rsidR="00756E7C">
        <w:rPr>
          <w:lang w:val="en-CA"/>
        </w:rPr>
        <w:t>R4-231448</w:t>
      </w:r>
      <w:r w:rsidR="00932B94">
        <w:rPr>
          <w:lang w:val="en-CA"/>
        </w:rPr>
        <w:t>8</w:t>
      </w:r>
      <w:r w:rsidR="00756E7C">
        <w:rPr>
          <w:lang w:val="en-CA"/>
        </w:rPr>
        <w:t xml:space="preserve"> also provided CHO+SCG within NR-DC and CHO+CPA/C within NR-DC in </w:t>
      </w:r>
      <w:r w:rsidR="00E77A56">
        <w:rPr>
          <w:lang w:val="en-CA"/>
        </w:rPr>
        <w:t>clause 6.1.6 and clause 6.1.7.</w:t>
      </w:r>
    </w:p>
    <w:p w14:paraId="60BC6A1D" w14:textId="37D9ACB5" w:rsidR="00CD49D2" w:rsidRDefault="00E77A56" w:rsidP="00CD49D2">
      <w:pPr>
        <w:pStyle w:val="B10"/>
        <w:ind w:left="0" w:firstLine="0"/>
        <w:rPr>
          <w:rFonts w:ascii="Times New Roman" w:hAnsi="Times New Roman"/>
          <w:lang w:val="en-CA"/>
        </w:rPr>
      </w:pPr>
      <w:r w:rsidRPr="00CD49D2">
        <w:rPr>
          <w:rFonts w:ascii="Times New Roman" w:hAnsi="Times New Roman"/>
          <w:lang w:val="en-CA"/>
        </w:rPr>
        <w:t xml:space="preserve">One </w:t>
      </w:r>
      <w:r w:rsidR="008C0807" w:rsidRPr="00CD49D2">
        <w:rPr>
          <w:rFonts w:ascii="Times New Roman" w:hAnsi="Times New Roman"/>
          <w:lang w:val="en-CA"/>
        </w:rPr>
        <w:t xml:space="preserve">additional condition </w:t>
      </w:r>
      <w:r w:rsidR="00442870">
        <w:rPr>
          <w:rFonts w:ascii="Times New Roman" w:hAnsi="Times New Roman"/>
          <w:lang w:val="en-CA"/>
        </w:rPr>
        <w:t xml:space="preserve">in </w:t>
      </w:r>
      <w:r w:rsidR="00442870" w:rsidRPr="00442870">
        <w:rPr>
          <w:rFonts w:ascii="Times New Roman" w:hAnsi="Times New Roman"/>
          <w:lang w:val="en-CA"/>
        </w:rPr>
        <w:t>R4-23144</w:t>
      </w:r>
      <w:r w:rsidR="00932B94">
        <w:rPr>
          <w:rFonts w:ascii="Times New Roman" w:hAnsi="Times New Roman"/>
          <w:lang w:val="en-CA"/>
        </w:rPr>
        <w:t>8</w:t>
      </w:r>
      <w:r w:rsidR="00442870" w:rsidRPr="00442870">
        <w:rPr>
          <w:rFonts w:ascii="Times New Roman" w:hAnsi="Times New Roman"/>
          <w:lang w:val="en-CA"/>
        </w:rPr>
        <w:t>8</w:t>
      </w:r>
      <w:r w:rsidR="00442870">
        <w:rPr>
          <w:lang w:val="en-CA"/>
        </w:rPr>
        <w:t xml:space="preserve"> </w:t>
      </w:r>
      <w:r w:rsidR="008C0807" w:rsidRPr="00CD49D2">
        <w:rPr>
          <w:rFonts w:ascii="Times New Roman" w:hAnsi="Times New Roman"/>
          <w:lang w:val="en-CA"/>
        </w:rPr>
        <w:t>was added at clause 6.1.7</w:t>
      </w:r>
      <w:r w:rsidR="00905B90">
        <w:rPr>
          <w:rFonts w:ascii="Times New Roman" w:hAnsi="Times New Roman"/>
          <w:lang w:val="en-CA"/>
        </w:rPr>
        <w:t>.1</w:t>
      </w:r>
      <w:r w:rsidR="00CD49D2">
        <w:rPr>
          <w:rFonts w:ascii="Times New Roman" w:hAnsi="Times New Roman"/>
          <w:lang w:val="en-CA"/>
        </w:rPr>
        <w:t xml:space="preserve"> with </w:t>
      </w:r>
      <w:r w:rsidR="0015118E">
        <w:rPr>
          <w:rFonts w:ascii="Times New Roman" w:hAnsi="Times New Roman"/>
          <w:lang w:val="en-CA"/>
        </w:rPr>
        <w:t>pending agreement</w:t>
      </w:r>
      <w:r w:rsidR="00442870">
        <w:rPr>
          <w:rFonts w:ascii="Times New Roman" w:hAnsi="Times New Roman"/>
          <w:lang w:val="en-CA"/>
        </w:rPr>
        <w:t xml:space="preserve">. </w:t>
      </w:r>
    </w:p>
    <w:tbl>
      <w:tblPr>
        <w:tblStyle w:val="TableGrid"/>
        <w:tblW w:w="0" w:type="auto"/>
        <w:tblLook w:val="04A0" w:firstRow="1" w:lastRow="0" w:firstColumn="1" w:lastColumn="0" w:noHBand="0" w:noVBand="1"/>
      </w:tblPr>
      <w:tblGrid>
        <w:gridCol w:w="9629"/>
      </w:tblGrid>
      <w:tr w:rsidR="00442870" w14:paraId="283A36AC" w14:textId="77777777" w:rsidTr="00442870">
        <w:tc>
          <w:tcPr>
            <w:tcW w:w="9629" w:type="dxa"/>
          </w:tcPr>
          <w:p w14:paraId="069BF608" w14:textId="56B9D7A4" w:rsidR="00442870" w:rsidRDefault="00442870" w:rsidP="00CD49D2">
            <w:pPr>
              <w:pStyle w:val="B10"/>
              <w:ind w:left="0" w:firstLine="0"/>
              <w:rPr>
                <w:rFonts w:ascii="Times New Roman" w:hAnsi="Times New Roman"/>
                <w:lang w:val="en-CA"/>
              </w:rPr>
            </w:pPr>
            <w:r w:rsidRPr="0015118E">
              <w:rPr>
                <w:rFonts w:ascii="Times New Roman" w:hAnsi="Times New Roman"/>
                <w:lang w:val="en-CA"/>
              </w:rPr>
              <w:t>[When the UE is additionally provided [a complementary CHO-only configuration] and a condition for CHO is met before the CPC condition, the UE executes CHO without CPC and the delay requirements for CHO defined in section 6.1.4 apply.]</w:t>
            </w:r>
          </w:p>
        </w:tc>
      </w:tr>
    </w:tbl>
    <w:p w14:paraId="4915BD60" w14:textId="77777777" w:rsidR="00463BCF" w:rsidRDefault="00EF4B28" w:rsidP="00CD49D2">
      <w:pPr>
        <w:pStyle w:val="B10"/>
        <w:ind w:left="0" w:firstLine="0"/>
        <w:rPr>
          <w:rFonts w:ascii="Times New Roman" w:hAnsi="Times New Roman"/>
          <w:lang w:val="en-CA"/>
        </w:rPr>
      </w:pPr>
      <w:r>
        <w:rPr>
          <w:rFonts w:ascii="Times New Roman" w:hAnsi="Times New Roman"/>
          <w:lang w:val="en-CA"/>
        </w:rPr>
        <w:t xml:space="preserve"> </w:t>
      </w:r>
    </w:p>
    <w:p w14:paraId="2D390197" w14:textId="584E2607" w:rsidR="00442870" w:rsidRDefault="00EF4B28" w:rsidP="00CD49D2">
      <w:pPr>
        <w:pStyle w:val="B10"/>
        <w:ind w:left="0" w:firstLine="0"/>
        <w:rPr>
          <w:rFonts w:ascii="Times New Roman" w:hAnsi="Times New Roman"/>
          <w:lang w:val="en-CA"/>
        </w:rPr>
      </w:pPr>
      <w:r>
        <w:rPr>
          <w:rFonts w:ascii="Times New Roman" w:hAnsi="Times New Roman"/>
          <w:lang w:val="en-CA"/>
        </w:rPr>
        <w:t xml:space="preserve">This clause 6.1.4 requirements to our view shall cover any MCG+SCG configuration with CHO+X when </w:t>
      </w:r>
      <w:r w:rsidR="00463BCF">
        <w:rPr>
          <w:rFonts w:ascii="Times New Roman" w:hAnsi="Times New Roman"/>
          <w:lang w:val="en-CA"/>
        </w:rPr>
        <w:t>CHO is met before CPC or SCG activation.</w:t>
      </w:r>
    </w:p>
    <w:p w14:paraId="0DD56BF1" w14:textId="68F0C3B1" w:rsidR="007A7E9D" w:rsidRPr="00CD49D2" w:rsidRDefault="007A7E9D" w:rsidP="00CD49D2">
      <w:pPr>
        <w:pStyle w:val="B10"/>
        <w:ind w:left="0" w:firstLine="0"/>
        <w:rPr>
          <w:rFonts w:ascii="Times New Roman" w:hAnsi="Times New Roman"/>
          <w:lang w:val="en-CA"/>
        </w:rPr>
      </w:pPr>
      <w:r>
        <w:rPr>
          <w:rFonts w:ascii="Times New Roman" w:hAnsi="Times New Roman"/>
          <w:lang w:val="en-CA"/>
        </w:rPr>
        <w:t xml:space="preserve">As from RAN2#122 meeting agreement, the CHO+CPC will only be considered execution when both conditions are met. The purpose of this feature is not to delay the </w:t>
      </w:r>
      <w:proofErr w:type="spellStart"/>
      <w:r>
        <w:rPr>
          <w:rFonts w:ascii="Times New Roman" w:hAnsi="Times New Roman"/>
          <w:lang w:val="en-CA"/>
        </w:rPr>
        <w:t>Pcell</w:t>
      </w:r>
      <w:proofErr w:type="spellEnd"/>
      <w:r>
        <w:rPr>
          <w:rFonts w:ascii="Times New Roman" w:hAnsi="Times New Roman"/>
          <w:lang w:val="en-CA"/>
        </w:rPr>
        <w:t xml:space="preserve"> handover to wait for </w:t>
      </w:r>
      <w:proofErr w:type="spellStart"/>
      <w:r>
        <w:rPr>
          <w:rFonts w:ascii="Times New Roman" w:hAnsi="Times New Roman"/>
          <w:lang w:val="en-CA"/>
        </w:rPr>
        <w:t>Pscell</w:t>
      </w:r>
      <w:proofErr w:type="spellEnd"/>
      <w:r>
        <w:rPr>
          <w:rFonts w:ascii="Times New Roman" w:hAnsi="Times New Roman"/>
          <w:lang w:val="en-CA"/>
        </w:rPr>
        <w:t xml:space="preserve"> </w:t>
      </w:r>
      <w:r w:rsidR="002C7586">
        <w:rPr>
          <w:rFonts w:ascii="Times New Roman" w:hAnsi="Times New Roman"/>
          <w:lang w:val="en-CA"/>
        </w:rPr>
        <w:t xml:space="preserve">regardless of what configurations are. </w:t>
      </w:r>
    </w:p>
    <w:p w14:paraId="7F0BD7A8" w14:textId="083E76D3" w:rsidR="00932B94" w:rsidRDefault="00932B94" w:rsidP="00932B94">
      <w:pPr>
        <w:rPr>
          <w:rFonts w:asciiTheme="minorHAnsi" w:hAnsiTheme="minorHAnsi"/>
          <w:b/>
          <w:sz w:val="24"/>
          <w:szCs w:val="24"/>
          <w:lang w:val="en-CA"/>
        </w:rPr>
      </w:pPr>
      <w:r w:rsidRPr="3F3D0740">
        <w:rPr>
          <w:rFonts w:asciiTheme="minorHAnsi" w:hAnsiTheme="minorHAnsi"/>
          <w:b/>
          <w:sz w:val="24"/>
          <w:szCs w:val="24"/>
          <w:lang w:val="en-CA"/>
        </w:rPr>
        <w:t xml:space="preserve">Proposal </w:t>
      </w:r>
      <w:r>
        <w:rPr>
          <w:rFonts w:asciiTheme="minorHAnsi" w:hAnsiTheme="minorHAnsi"/>
          <w:b/>
          <w:sz w:val="24"/>
          <w:szCs w:val="24"/>
          <w:lang w:val="en-CA"/>
        </w:rPr>
        <w:t xml:space="preserve">1: Update the R4-2314488 </w:t>
      </w:r>
      <w:r w:rsidR="009A30BC">
        <w:rPr>
          <w:rFonts w:asciiTheme="minorHAnsi" w:hAnsiTheme="minorHAnsi"/>
          <w:b/>
          <w:sz w:val="24"/>
          <w:szCs w:val="24"/>
          <w:lang w:val="en-CA"/>
        </w:rPr>
        <w:t>additional condition for CHO-only execution requirements.</w:t>
      </w:r>
    </w:p>
    <w:p w14:paraId="6D12EED9" w14:textId="607E0BB7" w:rsidR="000A226D" w:rsidRDefault="009A30BC" w:rsidP="00201DD3">
      <w:pPr>
        <w:pStyle w:val="B10"/>
        <w:ind w:left="0" w:firstLine="0"/>
        <w:rPr>
          <w:lang w:val="en-CA"/>
        </w:rPr>
      </w:pPr>
      <w:r w:rsidRPr="00BB7768">
        <w:rPr>
          <w:rFonts w:asciiTheme="minorHAnsi" w:hAnsiTheme="minorHAnsi"/>
          <w:b/>
          <w:sz w:val="24"/>
          <w:szCs w:val="24"/>
          <w:lang w:val="en-CA"/>
        </w:rPr>
        <w:t xml:space="preserve">When the UE is additionally provided a complementary CHO-only configuration or </w:t>
      </w:r>
      <w:r w:rsidR="007D04AC" w:rsidRPr="00BB7768">
        <w:rPr>
          <w:rFonts w:asciiTheme="minorHAnsi" w:hAnsiTheme="minorHAnsi"/>
          <w:b/>
          <w:sz w:val="24"/>
          <w:szCs w:val="24"/>
          <w:lang w:val="en-CA"/>
        </w:rPr>
        <w:t xml:space="preserve">has a valid CHO </w:t>
      </w:r>
      <w:proofErr w:type="spellStart"/>
      <w:r w:rsidR="007D04AC" w:rsidRPr="00BB7768">
        <w:rPr>
          <w:rFonts w:asciiTheme="minorHAnsi" w:hAnsiTheme="minorHAnsi"/>
          <w:b/>
          <w:sz w:val="24"/>
          <w:szCs w:val="24"/>
          <w:lang w:val="en-CA"/>
        </w:rPr>
        <w:t>configuraion</w:t>
      </w:r>
      <w:proofErr w:type="spellEnd"/>
      <w:r w:rsidRPr="00BB7768">
        <w:rPr>
          <w:rFonts w:asciiTheme="minorHAnsi" w:hAnsiTheme="minorHAnsi"/>
          <w:b/>
          <w:sz w:val="24"/>
          <w:szCs w:val="24"/>
          <w:lang w:val="en-CA"/>
        </w:rPr>
        <w:t xml:space="preserve"> and a condition for CHO is met before the CPC condition, the UE executes CHO without CPC and the delay requirements for CHO defined in section 6.1.4 apply.</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4A12840C"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5D2724">
        <w:rPr>
          <w:sz w:val="22"/>
          <w:lang w:val="en-CA"/>
        </w:rPr>
        <w:t>enhanced CHO configurations</w:t>
      </w:r>
      <w:r w:rsidR="009D446B">
        <w:rPr>
          <w:sz w:val="22"/>
          <w:lang w:val="en-CA"/>
        </w:rPr>
        <w:t>. The following proposals are made:</w:t>
      </w:r>
    </w:p>
    <w:p w14:paraId="4A01F9EC" w14:textId="77777777" w:rsidR="007161E8" w:rsidRDefault="007161E8" w:rsidP="007161E8">
      <w:pPr>
        <w:rPr>
          <w:rFonts w:asciiTheme="minorHAnsi" w:hAnsiTheme="minorHAnsi"/>
          <w:b/>
          <w:sz w:val="24"/>
          <w:szCs w:val="24"/>
          <w:lang w:val="en-CA"/>
        </w:rPr>
      </w:pPr>
      <w:r w:rsidRPr="3F3D0740">
        <w:rPr>
          <w:rFonts w:asciiTheme="minorHAnsi" w:hAnsiTheme="minorHAnsi"/>
          <w:b/>
          <w:sz w:val="24"/>
          <w:szCs w:val="24"/>
          <w:lang w:val="en-CA"/>
        </w:rPr>
        <w:lastRenderedPageBreak/>
        <w:t xml:space="preserve">Proposal </w:t>
      </w:r>
      <w:r>
        <w:rPr>
          <w:rFonts w:asciiTheme="minorHAnsi" w:hAnsiTheme="minorHAnsi"/>
          <w:b/>
          <w:sz w:val="24"/>
          <w:szCs w:val="24"/>
          <w:lang w:val="en-CA"/>
        </w:rPr>
        <w:t>1: Update the R4-2314488 additional condition for CHO-only execution requirements.</w:t>
      </w:r>
    </w:p>
    <w:p w14:paraId="48DDAC6C" w14:textId="77777777" w:rsidR="007161E8" w:rsidRDefault="007161E8" w:rsidP="007161E8">
      <w:pPr>
        <w:pStyle w:val="B10"/>
        <w:ind w:left="0" w:firstLine="0"/>
        <w:rPr>
          <w:lang w:val="en-CA"/>
        </w:rPr>
      </w:pPr>
      <w:r w:rsidRPr="00BB7768">
        <w:rPr>
          <w:rFonts w:asciiTheme="minorHAnsi" w:hAnsiTheme="minorHAnsi"/>
          <w:b/>
          <w:sz w:val="24"/>
          <w:szCs w:val="24"/>
          <w:lang w:val="en-CA"/>
        </w:rPr>
        <w:t xml:space="preserve">When the UE is additionally provided a complementary CHO-only configuration or has a valid CHO </w:t>
      </w:r>
      <w:proofErr w:type="spellStart"/>
      <w:r w:rsidRPr="00BB7768">
        <w:rPr>
          <w:rFonts w:asciiTheme="minorHAnsi" w:hAnsiTheme="minorHAnsi"/>
          <w:b/>
          <w:sz w:val="24"/>
          <w:szCs w:val="24"/>
          <w:lang w:val="en-CA"/>
        </w:rPr>
        <w:t>configuraion</w:t>
      </w:r>
      <w:proofErr w:type="spellEnd"/>
      <w:r w:rsidRPr="00BB7768">
        <w:rPr>
          <w:rFonts w:asciiTheme="minorHAnsi" w:hAnsiTheme="minorHAnsi"/>
          <w:b/>
          <w:sz w:val="24"/>
          <w:szCs w:val="24"/>
          <w:lang w:val="en-CA"/>
        </w:rPr>
        <w:t xml:space="preserve"> and a condition for CHO is met before the CPC condition, the UE executes CHO without CPC and the delay requirements for CHO defined in section 6.1.4 apply.</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6C86B0C8" w14:textId="2ED97521" w:rsidR="00A23753" w:rsidRPr="00C46808" w:rsidRDefault="005E16F0" w:rsidP="00A23753">
      <w:pPr>
        <w:numPr>
          <w:ilvl w:val="0"/>
          <w:numId w:val="9"/>
        </w:numPr>
        <w:tabs>
          <w:tab w:val="left" w:pos="851"/>
        </w:tabs>
        <w:rPr>
          <w:rFonts w:ascii="Arial" w:hAnsi="Arial" w:cs="Arial"/>
          <w:sz w:val="22"/>
          <w:szCs w:val="22"/>
          <w:lang w:val="en-CA"/>
        </w:rPr>
      </w:pPr>
      <w:bookmarkStart w:id="7" w:name="_Ref78878368"/>
      <w:bookmarkStart w:id="8" w:name="_Ref61004649"/>
      <w:bookmarkEnd w:id="4"/>
      <w:bookmarkEnd w:id="5"/>
      <w:bookmarkEnd w:id="6"/>
      <w:r w:rsidRPr="00C44A3D">
        <w:rPr>
          <w:rFonts w:ascii="Arial" w:hAnsi="Arial" w:cs="Arial"/>
          <w:sz w:val="22"/>
          <w:szCs w:val="22"/>
          <w:lang w:val="en-CA"/>
        </w:rPr>
        <w:t>R4-23</w:t>
      </w:r>
      <w:r w:rsidR="002C53B4">
        <w:rPr>
          <w:rFonts w:ascii="Arial" w:hAnsi="Arial" w:cs="Arial"/>
          <w:sz w:val="22"/>
          <w:szCs w:val="22"/>
          <w:lang w:val="en-CA"/>
        </w:rPr>
        <w:t>1</w:t>
      </w:r>
      <w:r w:rsidR="002F26DE">
        <w:rPr>
          <w:rFonts w:ascii="Arial" w:hAnsi="Arial" w:cs="Arial"/>
          <w:sz w:val="22"/>
          <w:szCs w:val="22"/>
          <w:lang w:val="en-CA"/>
        </w:rPr>
        <w:t>4332</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p>
    <w:bookmarkEnd w:id="7"/>
    <w:bookmarkEnd w:id="8"/>
    <w:p w14:paraId="729C8FA2" w14:textId="6E9E775B" w:rsidR="003F4946" w:rsidRPr="004E67B6" w:rsidRDefault="003F4946" w:rsidP="005A2BCF">
      <w:pPr>
        <w:pStyle w:val="ListParagraph"/>
        <w:spacing w:before="120" w:after="120"/>
        <w:rPr>
          <w:rFonts w:ascii="Arial" w:hAnsi="Arial" w:cs="Arial"/>
          <w:sz w:val="22"/>
          <w:szCs w:val="22"/>
          <w:highlight w:val="yellow"/>
          <w:lang w:val="en-CA"/>
        </w:rPr>
      </w:pPr>
    </w:p>
    <w:sectPr w:rsidR="003F4946" w:rsidRPr="004E67B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59244" w14:textId="77777777" w:rsidR="00CE7182" w:rsidRDefault="00CE7182">
      <w:r>
        <w:separator/>
      </w:r>
    </w:p>
  </w:endnote>
  <w:endnote w:type="continuationSeparator" w:id="0">
    <w:p w14:paraId="08762016" w14:textId="77777777" w:rsidR="00CE7182" w:rsidRDefault="00CE7182">
      <w:r>
        <w:continuationSeparator/>
      </w:r>
    </w:p>
  </w:endnote>
  <w:endnote w:type="continuationNotice" w:id="1">
    <w:p w14:paraId="07E8AA22" w14:textId="77777777" w:rsidR="00CE7182" w:rsidRDefault="00CE7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99997" w14:textId="77777777" w:rsidR="00CE7182" w:rsidRDefault="00CE7182">
      <w:r>
        <w:separator/>
      </w:r>
    </w:p>
  </w:footnote>
  <w:footnote w:type="continuationSeparator" w:id="0">
    <w:p w14:paraId="36F703F6" w14:textId="77777777" w:rsidR="00CE7182" w:rsidRDefault="00CE7182">
      <w:r>
        <w:continuationSeparator/>
      </w:r>
    </w:p>
  </w:footnote>
  <w:footnote w:type="continuationNotice" w:id="1">
    <w:p w14:paraId="1C577CE1" w14:textId="77777777" w:rsidR="00CE7182" w:rsidRDefault="00CE71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6"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34"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8"/>
  </w:num>
  <w:num w:numId="2" w16cid:durableId="1741363967">
    <w:abstractNumId w:val="35"/>
  </w:num>
  <w:num w:numId="3" w16cid:durableId="660230214">
    <w:abstractNumId w:val="34"/>
  </w:num>
  <w:num w:numId="4" w16cid:durableId="380445136">
    <w:abstractNumId w:val="14"/>
  </w:num>
  <w:num w:numId="5" w16cid:durableId="1859539554">
    <w:abstractNumId w:val="18"/>
  </w:num>
  <w:num w:numId="6" w16cid:durableId="1871918312">
    <w:abstractNumId w:val="2"/>
  </w:num>
  <w:num w:numId="7" w16cid:durableId="1405494110">
    <w:abstractNumId w:val="1"/>
  </w:num>
  <w:num w:numId="8" w16cid:durableId="119954865">
    <w:abstractNumId w:val="36"/>
  </w:num>
  <w:num w:numId="9" w16cid:durableId="203102583">
    <w:abstractNumId w:val="27"/>
  </w:num>
  <w:num w:numId="10" w16cid:durableId="444345795">
    <w:abstractNumId w:val="30"/>
  </w:num>
  <w:num w:numId="11" w16cid:durableId="499128010">
    <w:abstractNumId w:val="12"/>
  </w:num>
  <w:num w:numId="12" w16cid:durableId="337007733">
    <w:abstractNumId w:val="0"/>
  </w:num>
  <w:num w:numId="13" w16cid:durableId="24869541">
    <w:abstractNumId w:val="22"/>
  </w:num>
  <w:num w:numId="14" w16cid:durableId="768160871">
    <w:abstractNumId w:val="10"/>
  </w:num>
  <w:num w:numId="15" w16cid:durableId="159320344">
    <w:abstractNumId w:val="33"/>
  </w:num>
  <w:num w:numId="16" w16cid:durableId="468790361">
    <w:abstractNumId w:val="17"/>
  </w:num>
  <w:num w:numId="17" w16cid:durableId="1721787096">
    <w:abstractNumId w:val="25"/>
  </w:num>
  <w:num w:numId="18" w16cid:durableId="604505973">
    <w:abstractNumId w:val="24"/>
  </w:num>
  <w:num w:numId="19" w16cid:durableId="84498214">
    <w:abstractNumId w:val="7"/>
  </w:num>
  <w:num w:numId="20" w16cid:durableId="212279796">
    <w:abstractNumId w:val="29"/>
  </w:num>
  <w:num w:numId="21" w16cid:durableId="1088305249">
    <w:abstractNumId w:val="25"/>
  </w:num>
  <w:num w:numId="22" w16cid:durableId="2051371367">
    <w:abstractNumId w:val="19"/>
  </w:num>
  <w:num w:numId="23" w16cid:durableId="128868187">
    <w:abstractNumId w:val="4"/>
  </w:num>
  <w:num w:numId="24" w16cid:durableId="1964723690">
    <w:abstractNumId w:val="6"/>
  </w:num>
  <w:num w:numId="25" w16cid:durableId="1513951277">
    <w:abstractNumId w:val="23"/>
  </w:num>
  <w:num w:numId="26" w16cid:durableId="1146167296">
    <w:abstractNumId w:val="8"/>
  </w:num>
  <w:num w:numId="27" w16cid:durableId="12004330">
    <w:abstractNumId w:val="26"/>
  </w:num>
  <w:num w:numId="28" w16cid:durableId="508568579">
    <w:abstractNumId w:val="16"/>
  </w:num>
  <w:num w:numId="29" w16cid:durableId="2067029796">
    <w:abstractNumId w:val="13"/>
  </w:num>
  <w:num w:numId="30" w16cid:durableId="1108818650">
    <w:abstractNumId w:val="5"/>
  </w:num>
  <w:num w:numId="31" w16cid:durableId="1905483320">
    <w:abstractNumId w:val="20"/>
  </w:num>
  <w:num w:numId="32" w16cid:durableId="326136045">
    <w:abstractNumId w:val="3"/>
  </w:num>
  <w:num w:numId="33" w16cid:durableId="49548075">
    <w:abstractNumId w:val="9"/>
  </w:num>
  <w:num w:numId="34" w16cid:durableId="512382814">
    <w:abstractNumId w:val="31"/>
  </w:num>
  <w:num w:numId="35" w16cid:durableId="860237584">
    <w:abstractNumId w:val="15"/>
  </w:num>
  <w:num w:numId="36" w16cid:durableId="1494907974">
    <w:abstractNumId w:val="32"/>
  </w:num>
  <w:num w:numId="37" w16cid:durableId="1270552855">
    <w:abstractNumId w:val="21"/>
  </w:num>
  <w:num w:numId="38" w16cid:durableId="175631794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226D"/>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BCF"/>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3B9"/>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C000D"/>
    <w:rsid w:val="005C0432"/>
    <w:rsid w:val="005C0438"/>
    <w:rsid w:val="005C15E5"/>
    <w:rsid w:val="005C1DD5"/>
    <w:rsid w:val="005C204E"/>
    <w:rsid w:val="005C2260"/>
    <w:rsid w:val="005C226B"/>
    <w:rsid w:val="005C30E8"/>
    <w:rsid w:val="005C367B"/>
    <w:rsid w:val="005C3AB3"/>
    <w:rsid w:val="005C402D"/>
    <w:rsid w:val="005C404D"/>
    <w:rsid w:val="005C4859"/>
    <w:rsid w:val="005C4CE0"/>
    <w:rsid w:val="005C4D36"/>
    <w:rsid w:val="005C557F"/>
    <w:rsid w:val="005C5AEB"/>
    <w:rsid w:val="005C5CC7"/>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CEC"/>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A7E9D"/>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99A"/>
    <w:rsid w:val="008C3A68"/>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608E"/>
    <w:rsid w:val="008E6914"/>
    <w:rsid w:val="008E6EE4"/>
    <w:rsid w:val="008E72E5"/>
    <w:rsid w:val="008E7572"/>
    <w:rsid w:val="008E7D30"/>
    <w:rsid w:val="008F0092"/>
    <w:rsid w:val="008F03B1"/>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D3"/>
    <w:rsid w:val="00A46067"/>
    <w:rsid w:val="00A462CB"/>
    <w:rsid w:val="00A466C2"/>
    <w:rsid w:val="00A46755"/>
    <w:rsid w:val="00A4681B"/>
    <w:rsid w:val="00A46947"/>
    <w:rsid w:val="00A46C86"/>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6D57"/>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6EE"/>
    <w:rsid w:val="00C60ADE"/>
    <w:rsid w:val="00C612EB"/>
    <w:rsid w:val="00C6199C"/>
    <w:rsid w:val="00C61AE3"/>
    <w:rsid w:val="00C61B70"/>
    <w:rsid w:val="00C620B4"/>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35C"/>
    <w:rsid w:val="00C7270A"/>
    <w:rsid w:val="00C72D92"/>
    <w:rsid w:val="00C7380B"/>
    <w:rsid w:val="00C738BA"/>
    <w:rsid w:val="00C73DB9"/>
    <w:rsid w:val="00C74269"/>
    <w:rsid w:val="00C743B6"/>
    <w:rsid w:val="00C74678"/>
    <w:rsid w:val="00C748C5"/>
    <w:rsid w:val="00C7509B"/>
    <w:rsid w:val="00C7526B"/>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90075"/>
    <w:rsid w:val="00D901EE"/>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39A"/>
    <w:rsid w:val="00EF197C"/>
    <w:rsid w:val="00EF1DBE"/>
    <w:rsid w:val="00EF20B7"/>
    <w:rsid w:val="00EF2DD9"/>
    <w:rsid w:val="00EF3337"/>
    <w:rsid w:val="00EF3F91"/>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ADF30-3DA0-439C-B875-EFEFE122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2006/documentManagement/types"/>
    <ds:schemaRef ds:uri="http://www.w3.org/XML/1998/namespace"/>
    <ds:schemaRef ds:uri="d8762117-8292-4133-b1c7-eab5c6487cfd"/>
    <ds:schemaRef ds:uri="http://schemas.microsoft.com/sharepoint/v3"/>
    <ds:schemaRef ds:uri="http://schemas.openxmlformats.org/package/2006/metadata/core-properties"/>
    <ds:schemaRef ds:uri="http://purl.org/dc/dcmitype/"/>
    <ds:schemaRef ds:uri="http://purl.org/dc/elements/1.1/"/>
    <ds:schemaRef ds:uri="http://schemas.microsoft.com/office/infopath/2007/PartnerControls"/>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2023-09-27T13:56:00Z</dcterms:created>
  <dcterms:modified xsi:type="dcterms:W3CDTF">2023-09-27T13:56:00Z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